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6D3B" w14:textId="3D6351B1" w:rsidR="009D473A" w:rsidRPr="00EC31C2" w:rsidRDefault="009D473A" w:rsidP="009D473A">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0AD73765" w14:textId="4FAE5EF5" w:rsidR="009D473A" w:rsidRPr="00EC31C2" w:rsidRDefault="009D473A" w:rsidP="009D473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Causes of the Civil War Guided Notes </w:t>
      </w:r>
    </w:p>
    <w:p w14:paraId="7D74D1B0" w14:textId="1DE18F4A" w:rsidR="009D473A" w:rsidRPr="00EC31C2" w:rsidRDefault="009D473A" w:rsidP="009D473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59D4F64" w14:textId="77777777" w:rsidR="009D473A" w:rsidRPr="00DF315E" w:rsidRDefault="009D473A" w:rsidP="009D473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9D473A" w:rsidRPr="00DF315E" w14:paraId="6C67AD46" w14:textId="77777777" w:rsidTr="00D535E6">
        <w:tc>
          <w:tcPr>
            <w:tcW w:w="2515" w:type="dxa"/>
            <w:shd w:val="clear" w:color="auto" w:fill="E8E8E8" w:themeFill="background2"/>
          </w:tcPr>
          <w:p w14:paraId="7EFB6BF1"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15BF4AF" w14:textId="3B58A613" w:rsidR="009D473A" w:rsidRDefault="009D473A" w:rsidP="00D535E6">
            <w:pPr>
              <w:spacing w:after="0" w:line="240" w:lineRule="auto"/>
              <w:rPr>
                <w:rFonts w:ascii="Gotham Book" w:hAnsi="Gotham Book"/>
                <w:sz w:val="24"/>
                <w:szCs w:val="24"/>
              </w:rPr>
            </w:pPr>
            <w:r>
              <w:rPr>
                <w:rFonts w:ascii="Gotham Book" w:hAnsi="Gotham Book"/>
                <w:sz w:val="24"/>
                <w:szCs w:val="24"/>
              </w:rPr>
              <w:t xml:space="preserve">In this one-day </w:t>
            </w:r>
            <w:bookmarkStart w:id="1" w:name="_Hlk206684663"/>
            <w:r>
              <w:rPr>
                <w:rFonts w:ascii="Gotham Book" w:hAnsi="Gotham Book"/>
                <w:sz w:val="24"/>
                <w:szCs w:val="24"/>
              </w:rPr>
              <w:t xml:space="preserve">guided notes lesson, students will examine seven key events that led to the outbreak of the Civil War and determine the role that slavery and sectionalism played in each event. </w:t>
            </w:r>
            <w:bookmarkEnd w:id="1"/>
          </w:p>
          <w:p w14:paraId="1526B2CE" w14:textId="77777777" w:rsidR="009D473A" w:rsidRDefault="009D473A" w:rsidP="00D535E6">
            <w:pPr>
              <w:spacing w:after="0" w:line="240" w:lineRule="auto"/>
              <w:rPr>
                <w:rFonts w:ascii="Gotham Book" w:hAnsi="Gotham Book"/>
                <w:sz w:val="24"/>
                <w:szCs w:val="24"/>
              </w:rPr>
            </w:pPr>
          </w:p>
          <w:p w14:paraId="44AA37DB" w14:textId="557A13B4" w:rsidR="009D473A" w:rsidRPr="009D473A" w:rsidRDefault="009D473A" w:rsidP="009D473A">
            <w:pPr>
              <w:numPr>
                <w:ilvl w:val="0"/>
                <w:numId w:val="5"/>
              </w:numPr>
              <w:spacing w:after="0" w:line="240" w:lineRule="auto"/>
              <w:rPr>
                <w:rFonts w:ascii="Gotham Book" w:hAnsi="Gotham Book"/>
                <w:sz w:val="24"/>
                <w:szCs w:val="24"/>
              </w:rPr>
            </w:pPr>
            <w:r w:rsidRPr="009D473A">
              <w:rPr>
                <w:rFonts w:ascii="Gotham Book" w:hAnsi="Gotham Book"/>
                <w:b/>
                <w:bCs/>
                <w:i/>
                <w:iCs/>
                <w:sz w:val="24"/>
                <w:szCs w:val="24"/>
                <w:u w:val="single"/>
              </w:rPr>
              <w:t>We will</w:t>
            </w:r>
            <w:r w:rsidRPr="00D02D9F">
              <w:rPr>
                <w:rFonts w:ascii="Gotham Book" w:hAnsi="Gotham Book"/>
                <w:b/>
                <w:bCs/>
                <w:i/>
                <w:iCs/>
                <w:sz w:val="24"/>
                <w:szCs w:val="24"/>
              </w:rPr>
              <w:t xml:space="preserve">  </w:t>
            </w:r>
            <w:r w:rsidRPr="009D473A">
              <w:rPr>
                <w:rFonts w:ascii="Gotham Book" w:hAnsi="Gotham Book"/>
                <w:sz w:val="24"/>
                <w:szCs w:val="24"/>
              </w:rPr>
              <w:t>identify the primary cause of the Civil War</w:t>
            </w:r>
            <w:r>
              <w:rPr>
                <w:rFonts w:ascii="Gotham Book" w:hAnsi="Gotham Book"/>
                <w:sz w:val="24"/>
                <w:szCs w:val="24"/>
              </w:rPr>
              <w:t xml:space="preserve"> and</w:t>
            </w:r>
            <w:r w:rsidRPr="009D473A">
              <w:rPr>
                <w:rFonts w:ascii="Gotham Book" w:hAnsi="Gotham Book"/>
                <w:sz w:val="24"/>
                <w:szCs w:val="24"/>
              </w:rPr>
              <w:t xml:space="preserve"> examine seven significant events related to this cause that contributed to the outbreak of the Civil War.</w:t>
            </w:r>
          </w:p>
          <w:p w14:paraId="512D9730" w14:textId="55B69DE9" w:rsidR="009D473A" w:rsidRPr="009D473A" w:rsidRDefault="009D473A" w:rsidP="009D473A">
            <w:pPr>
              <w:numPr>
                <w:ilvl w:val="0"/>
                <w:numId w:val="5"/>
              </w:numPr>
              <w:spacing w:after="0" w:line="240" w:lineRule="auto"/>
              <w:rPr>
                <w:rFonts w:ascii="Gotham Book" w:hAnsi="Gotham Book"/>
                <w:sz w:val="24"/>
                <w:szCs w:val="24"/>
              </w:rPr>
            </w:pPr>
            <w:r w:rsidRPr="009D473A">
              <w:rPr>
                <w:rFonts w:ascii="Gotham Book" w:hAnsi="Gotham Book"/>
                <w:b/>
                <w:bCs/>
                <w:i/>
                <w:iCs/>
                <w:sz w:val="24"/>
                <w:szCs w:val="24"/>
                <w:u w:val="single"/>
              </w:rPr>
              <w:t>I will</w:t>
            </w:r>
            <w:r w:rsidRPr="009D473A">
              <w:rPr>
                <w:rFonts w:ascii="Gotham Book" w:hAnsi="Gotham Book"/>
                <w:sz w:val="24"/>
                <w:szCs w:val="24"/>
              </w:rPr>
              <w:t xml:space="preserve"> </w:t>
            </w:r>
            <w:bookmarkStart w:id="2" w:name="_Hlk206684684"/>
            <w:r w:rsidRPr="009D473A">
              <w:rPr>
                <w:rFonts w:ascii="Gotham Book" w:hAnsi="Gotham Book"/>
                <w:sz w:val="24"/>
                <w:szCs w:val="24"/>
              </w:rPr>
              <w:t xml:space="preserve">consider and explain how each event contributed to the rising sectionalism that led to the Civil War. </w:t>
            </w:r>
            <w:bookmarkEnd w:id="2"/>
          </w:p>
          <w:p w14:paraId="0E68FABC" w14:textId="441C127F" w:rsidR="009D473A" w:rsidRPr="00DF315E" w:rsidRDefault="009D473A" w:rsidP="00D535E6">
            <w:pPr>
              <w:spacing w:after="0" w:line="240" w:lineRule="auto"/>
              <w:rPr>
                <w:rFonts w:ascii="Gotham Book" w:hAnsi="Gotham Book"/>
                <w:sz w:val="24"/>
                <w:szCs w:val="24"/>
              </w:rPr>
            </w:pPr>
          </w:p>
        </w:tc>
      </w:tr>
      <w:tr w:rsidR="009D473A" w:rsidRPr="00DF315E" w14:paraId="7F6B580A" w14:textId="77777777" w:rsidTr="00D535E6">
        <w:tc>
          <w:tcPr>
            <w:tcW w:w="2515" w:type="dxa"/>
            <w:shd w:val="clear" w:color="auto" w:fill="E8E8E8" w:themeFill="background2"/>
          </w:tcPr>
          <w:p w14:paraId="606F525C"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1B312D2" w14:textId="77777777" w:rsidR="009D473A" w:rsidRDefault="009D473A" w:rsidP="009D473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Slavery was the primary cause of the Civil War. Events related to the westward expansion of slavery contributed to the outbreak of the Civil War. </w:t>
            </w:r>
          </w:p>
          <w:p w14:paraId="29B77E0C" w14:textId="545C387F" w:rsidR="009D473A" w:rsidRPr="009D473A" w:rsidRDefault="009D473A" w:rsidP="009D473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Seven significant events leading to the Civil War include the Missouri Compromise, the Compromise of 1850, The Kansas-Nebraska Act, “Bleeding Kansas,” the Dred Scott Case, John Brown’s Raid on Harper’s Ferry, and the Election of 1860. </w:t>
            </w:r>
          </w:p>
        </w:tc>
      </w:tr>
      <w:tr w:rsidR="009D473A" w:rsidRPr="00DF315E" w14:paraId="5AA9C9EC" w14:textId="77777777" w:rsidTr="00D535E6">
        <w:tc>
          <w:tcPr>
            <w:tcW w:w="2515" w:type="dxa"/>
            <w:shd w:val="clear" w:color="auto" w:fill="E8E8E8" w:themeFill="background2"/>
          </w:tcPr>
          <w:p w14:paraId="541D74FD"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D9763A8" w14:textId="77777777" w:rsidR="009D473A" w:rsidRDefault="009D473A" w:rsidP="009D473A">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main idea and supporting evidence of historical information.</w:t>
            </w:r>
          </w:p>
          <w:p w14:paraId="5A8FEB19" w14:textId="77777777" w:rsidR="009D473A" w:rsidRDefault="009D473A" w:rsidP="009D473A">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Using reasoning and deduction skills to determine how various historical events influenced different regions of the U.S. related to slavery and sectionalism. </w:t>
            </w:r>
          </w:p>
          <w:p w14:paraId="78428258" w14:textId="77777777" w:rsidR="009D473A" w:rsidRDefault="009D473A" w:rsidP="009D473A">
            <w:pPr>
              <w:pStyle w:val="ListParagraph"/>
              <w:numPr>
                <w:ilvl w:val="0"/>
                <w:numId w:val="7"/>
              </w:numPr>
              <w:spacing w:after="0" w:line="240" w:lineRule="auto"/>
              <w:rPr>
                <w:rFonts w:ascii="Gotham Book" w:hAnsi="Gotham Book"/>
                <w:sz w:val="24"/>
                <w:szCs w:val="24"/>
              </w:rPr>
            </w:pPr>
            <w:r>
              <w:rPr>
                <w:rFonts w:ascii="Gotham Book" w:hAnsi="Gotham Book"/>
                <w:sz w:val="24"/>
                <w:szCs w:val="24"/>
              </w:rPr>
              <w:t>Formulating short constructed responses</w:t>
            </w:r>
            <w:r w:rsidR="00443015">
              <w:rPr>
                <w:rFonts w:ascii="Gotham Book" w:hAnsi="Gotham Book"/>
                <w:sz w:val="24"/>
                <w:szCs w:val="24"/>
              </w:rPr>
              <w:t>.</w:t>
            </w:r>
          </w:p>
          <w:p w14:paraId="091DE368" w14:textId="47B8A406" w:rsidR="00443015" w:rsidRPr="009D473A" w:rsidRDefault="00443015" w:rsidP="00443015">
            <w:pPr>
              <w:pStyle w:val="ListParagraph"/>
              <w:spacing w:after="0" w:line="240" w:lineRule="auto"/>
              <w:rPr>
                <w:rFonts w:ascii="Gotham Book" w:hAnsi="Gotham Book"/>
                <w:sz w:val="24"/>
                <w:szCs w:val="24"/>
              </w:rPr>
            </w:pPr>
          </w:p>
        </w:tc>
      </w:tr>
      <w:tr w:rsidR="009D473A" w:rsidRPr="00DF315E" w14:paraId="718BF70B" w14:textId="77777777" w:rsidTr="00D535E6">
        <w:tc>
          <w:tcPr>
            <w:tcW w:w="2515" w:type="dxa"/>
            <w:shd w:val="clear" w:color="auto" w:fill="E8E8E8" w:themeFill="background2"/>
          </w:tcPr>
          <w:p w14:paraId="3EB444F7"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4C69697" w14:textId="04526AD5" w:rsidR="009D473A" w:rsidRPr="00DF315E" w:rsidRDefault="00443015" w:rsidP="00D535E6">
            <w:pPr>
              <w:rPr>
                <w:rFonts w:ascii="Gotham Book" w:hAnsi="Gotham Book"/>
                <w:sz w:val="24"/>
                <w:szCs w:val="24"/>
              </w:rPr>
            </w:pPr>
            <w:bookmarkStart w:id="3" w:name="_Hlk206684703"/>
            <w:r w:rsidRPr="00443015">
              <w:rPr>
                <w:rFonts w:ascii="Gotham Book" w:hAnsi="Gotham Book"/>
                <w:sz w:val="24"/>
                <w:szCs w:val="24"/>
              </w:rPr>
              <w:t>What was the primary cause of the Civil War, and what events occurred from 1820 to 1860 that give evidence of this cause?</w:t>
            </w:r>
            <w:bookmarkEnd w:id="3"/>
          </w:p>
        </w:tc>
      </w:tr>
      <w:tr w:rsidR="009D473A" w:rsidRPr="00DF315E" w14:paraId="6C68DD8A" w14:textId="77777777" w:rsidTr="00D535E6">
        <w:trPr>
          <w:trHeight w:val="305"/>
        </w:trPr>
        <w:tc>
          <w:tcPr>
            <w:tcW w:w="2515" w:type="dxa"/>
            <w:shd w:val="clear" w:color="auto" w:fill="E8E8E8" w:themeFill="background2"/>
          </w:tcPr>
          <w:p w14:paraId="2191592F"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60172109" w14:textId="77777777" w:rsidR="009D473A" w:rsidRDefault="009D473A" w:rsidP="00D535E6">
            <w:pPr>
              <w:spacing w:after="0" w:line="240" w:lineRule="auto"/>
              <w:rPr>
                <w:rFonts w:ascii="Gotham Book" w:hAnsi="Gotham Book"/>
                <w:b/>
                <w:bCs/>
                <w:sz w:val="24"/>
                <w:szCs w:val="24"/>
              </w:rPr>
            </w:pPr>
            <w:r w:rsidRPr="00757D5D">
              <w:rPr>
                <w:rFonts w:ascii="Gotham Book" w:hAnsi="Gotham Book"/>
                <w:b/>
                <w:bCs/>
                <w:sz w:val="24"/>
                <w:szCs w:val="24"/>
              </w:rPr>
              <w:t>Warm-up</w:t>
            </w:r>
          </w:p>
          <w:p w14:paraId="725B429D" w14:textId="77777777" w:rsidR="009D473A" w:rsidRDefault="009D473A" w:rsidP="00D535E6">
            <w:pPr>
              <w:spacing w:after="0" w:line="240" w:lineRule="auto"/>
              <w:rPr>
                <w:rFonts w:ascii="Gotham Book" w:hAnsi="Gotham Book"/>
                <w:b/>
                <w:bCs/>
                <w:sz w:val="24"/>
                <w:szCs w:val="24"/>
              </w:rPr>
            </w:pPr>
          </w:p>
          <w:p w14:paraId="321773E7" w14:textId="13F7C9E9" w:rsidR="009D473A" w:rsidRPr="001E4D12" w:rsidRDefault="00443015" w:rsidP="00443015">
            <w:pPr>
              <w:pStyle w:val="ListParagraph"/>
              <w:numPr>
                <w:ilvl w:val="0"/>
                <w:numId w:val="8"/>
              </w:numPr>
              <w:spacing w:after="0" w:line="240" w:lineRule="auto"/>
              <w:rPr>
                <w:rFonts w:ascii="Gotham Book" w:hAnsi="Gotham Book"/>
                <w:b/>
                <w:bCs/>
                <w:sz w:val="26"/>
                <w:szCs w:val="28"/>
              </w:rPr>
            </w:pPr>
            <w:r w:rsidRPr="001E4D12">
              <w:rPr>
                <w:rFonts w:ascii="Gotham Book" w:hAnsi="Gotham Book"/>
                <w:sz w:val="24"/>
                <w:szCs w:val="24"/>
              </w:rPr>
              <w:t xml:space="preserve">Students  </w:t>
            </w:r>
            <w:bookmarkStart w:id="4" w:name="_Hlk206684998"/>
            <w:r w:rsidRPr="001E4D12">
              <w:rPr>
                <w:rFonts w:ascii="Gotham Book" w:hAnsi="Gotham Book"/>
                <w:sz w:val="24"/>
                <w:szCs w:val="24"/>
              </w:rPr>
              <w:t>analyze a primary source excerpt from the State of Texas Declaration of Secession to identify and summarize at least one grievance listed in the document.</w:t>
            </w:r>
            <w:bookmarkEnd w:id="4"/>
          </w:p>
          <w:p w14:paraId="48C629ED" w14:textId="77777777" w:rsidR="009D473A" w:rsidRDefault="009D473A" w:rsidP="00D535E6">
            <w:pPr>
              <w:spacing w:after="0" w:line="240" w:lineRule="auto"/>
              <w:rPr>
                <w:rFonts w:ascii="Gotham Book" w:hAnsi="Gotham Book"/>
                <w:b/>
                <w:bCs/>
                <w:sz w:val="24"/>
                <w:szCs w:val="24"/>
              </w:rPr>
            </w:pPr>
          </w:p>
          <w:p w14:paraId="208D1065" w14:textId="77777777" w:rsidR="00443015" w:rsidRDefault="00443015" w:rsidP="00D535E6">
            <w:pPr>
              <w:spacing w:after="0" w:line="240" w:lineRule="auto"/>
              <w:rPr>
                <w:rFonts w:ascii="Gotham Book" w:hAnsi="Gotham Book"/>
                <w:b/>
                <w:bCs/>
                <w:sz w:val="24"/>
                <w:szCs w:val="24"/>
              </w:rPr>
            </w:pPr>
          </w:p>
          <w:p w14:paraId="39B0AF5B" w14:textId="77777777" w:rsidR="00443015" w:rsidRDefault="00443015" w:rsidP="00D535E6">
            <w:pPr>
              <w:spacing w:after="0" w:line="240" w:lineRule="auto"/>
              <w:rPr>
                <w:rFonts w:ascii="Gotham Book" w:hAnsi="Gotham Book"/>
                <w:b/>
                <w:bCs/>
                <w:sz w:val="24"/>
                <w:szCs w:val="24"/>
              </w:rPr>
            </w:pPr>
          </w:p>
          <w:p w14:paraId="75434E19" w14:textId="77777777" w:rsidR="009D473A" w:rsidRDefault="009D473A" w:rsidP="00D535E6">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32180F97" w14:textId="77777777" w:rsidR="009D473A" w:rsidRDefault="009D473A" w:rsidP="00D535E6">
            <w:pPr>
              <w:spacing w:after="0" w:line="240" w:lineRule="auto"/>
              <w:rPr>
                <w:rFonts w:ascii="Gotham Book" w:hAnsi="Gotham Book"/>
                <w:sz w:val="24"/>
                <w:szCs w:val="24"/>
              </w:rPr>
            </w:pPr>
          </w:p>
          <w:p w14:paraId="601AED18" w14:textId="3AA3F370" w:rsidR="009D473A" w:rsidRDefault="00443015" w:rsidP="00443015">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examine seven key events related to the Westward expansion of slavery that led to the Civil war including the Missouri Compromise, the Compromise of 1850, the Kansas-Nebraska Act, “Bleeding Kansas,” The Dred Scott Case, the raid on Harper’s Ferry, and the election of Abraham Lincoln.</w:t>
            </w:r>
          </w:p>
          <w:p w14:paraId="3B73C457" w14:textId="6645180F" w:rsidR="00443015" w:rsidRPr="00443015" w:rsidRDefault="00443015" w:rsidP="00443015">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identify and explain how each event contributed to the rising sectional divisions in the United States. </w:t>
            </w:r>
          </w:p>
          <w:p w14:paraId="04069860" w14:textId="77777777" w:rsidR="009D473A" w:rsidRDefault="009D473A" w:rsidP="00D535E6">
            <w:pPr>
              <w:spacing w:after="0" w:line="240" w:lineRule="auto"/>
              <w:rPr>
                <w:rFonts w:ascii="Gotham Book" w:hAnsi="Gotham Book"/>
                <w:sz w:val="24"/>
                <w:szCs w:val="24"/>
              </w:rPr>
            </w:pPr>
          </w:p>
          <w:p w14:paraId="0C104883" w14:textId="77777777" w:rsidR="009D473A" w:rsidRDefault="009D473A" w:rsidP="00D535E6">
            <w:pPr>
              <w:spacing w:after="0" w:line="240" w:lineRule="auto"/>
              <w:rPr>
                <w:rFonts w:ascii="Gotham Book" w:hAnsi="Gotham Book"/>
                <w:b/>
                <w:bCs/>
                <w:sz w:val="24"/>
                <w:szCs w:val="24"/>
              </w:rPr>
            </w:pPr>
            <w:r>
              <w:rPr>
                <w:rFonts w:ascii="Gotham Book" w:hAnsi="Gotham Book"/>
                <w:b/>
                <w:bCs/>
                <w:sz w:val="24"/>
                <w:szCs w:val="24"/>
              </w:rPr>
              <w:t>Exit Ticket</w:t>
            </w:r>
          </w:p>
          <w:p w14:paraId="67BA6E74" w14:textId="77777777" w:rsidR="009D473A" w:rsidRDefault="009D473A" w:rsidP="00D535E6">
            <w:pPr>
              <w:spacing w:after="0" w:line="240" w:lineRule="auto"/>
              <w:rPr>
                <w:rFonts w:ascii="Gotham Book" w:hAnsi="Gotham Book"/>
                <w:b/>
                <w:bCs/>
                <w:sz w:val="24"/>
                <w:szCs w:val="24"/>
              </w:rPr>
            </w:pPr>
          </w:p>
          <w:p w14:paraId="762C4010" w14:textId="31E3F8FC" w:rsidR="009D473A" w:rsidRPr="00443015" w:rsidRDefault="00443015" w:rsidP="00443015">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06685101"/>
            <w:r>
              <w:rPr>
                <w:rFonts w:ascii="Gotham Book" w:hAnsi="Gotham Book"/>
                <w:sz w:val="24"/>
                <w:szCs w:val="24"/>
              </w:rPr>
              <w:t xml:space="preserve">complete three sentence stems to write a complete explanation of the primary cause of the Civil War, and provide information about one event from the lesson that demonstrates this cause. </w:t>
            </w:r>
            <w:bookmarkEnd w:id="5"/>
          </w:p>
          <w:p w14:paraId="1AA2A38B" w14:textId="77777777" w:rsidR="009D473A" w:rsidRPr="005B6191" w:rsidRDefault="009D473A" w:rsidP="00D535E6">
            <w:pPr>
              <w:spacing w:after="0" w:line="240" w:lineRule="auto"/>
              <w:rPr>
                <w:rFonts w:ascii="Gotham Book" w:hAnsi="Gotham Book"/>
                <w:b/>
                <w:bCs/>
                <w:sz w:val="24"/>
                <w:szCs w:val="24"/>
              </w:rPr>
            </w:pPr>
          </w:p>
        </w:tc>
      </w:tr>
      <w:tr w:rsidR="009D473A" w:rsidRPr="00DF315E" w14:paraId="6B87A812" w14:textId="77777777" w:rsidTr="00D535E6">
        <w:tc>
          <w:tcPr>
            <w:tcW w:w="2515" w:type="dxa"/>
            <w:shd w:val="clear" w:color="auto" w:fill="E8E8E8" w:themeFill="background2"/>
          </w:tcPr>
          <w:p w14:paraId="0E07F35E"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621016EB" w14:textId="77777777" w:rsidR="009D473A" w:rsidRPr="00DF315E" w:rsidRDefault="009D473A" w:rsidP="00D535E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E4C10F0" w14:textId="77777777" w:rsidR="009D473A" w:rsidRPr="00DF315E" w:rsidRDefault="009D473A" w:rsidP="00D535E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7327950" w14:textId="77777777" w:rsidR="009D473A" w:rsidRPr="00DF315E" w:rsidRDefault="009D473A" w:rsidP="00D535E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664DFC3" w14:textId="77777777" w:rsidR="009D473A" w:rsidRPr="00DF315E" w:rsidRDefault="009D473A" w:rsidP="00D535E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6E8EC52" w14:textId="77777777" w:rsidR="009D473A" w:rsidRPr="00DF315E" w:rsidRDefault="009D473A" w:rsidP="00D535E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20BECD46" w14:textId="77777777" w:rsidR="009D473A" w:rsidRPr="00DF315E" w:rsidRDefault="009D473A" w:rsidP="00D535E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2D5B4D8" w14:textId="77777777" w:rsidR="009D473A" w:rsidRPr="00DF315E" w:rsidRDefault="009D473A" w:rsidP="00D535E6">
            <w:pPr>
              <w:rPr>
                <w:rFonts w:ascii="Gotham Book" w:hAnsi="Gotham Book"/>
                <w:sz w:val="24"/>
                <w:szCs w:val="24"/>
              </w:rPr>
            </w:pPr>
          </w:p>
        </w:tc>
      </w:tr>
      <w:tr w:rsidR="009D473A" w:rsidRPr="00DF315E" w14:paraId="5207B8B9" w14:textId="77777777" w:rsidTr="00D535E6">
        <w:tc>
          <w:tcPr>
            <w:tcW w:w="2515" w:type="dxa"/>
            <w:shd w:val="clear" w:color="auto" w:fill="E8E8E8" w:themeFill="background2"/>
          </w:tcPr>
          <w:p w14:paraId="4E47A011"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CD48AD0" w14:textId="77777777" w:rsidR="009D473A" w:rsidRPr="00DF315E" w:rsidRDefault="009D473A" w:rsidP="00D535E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0DE10D8" w14:textId="77777777" w:rsidR="009D473A" w:rsidRPr="00DF315E" w:rsidRDefault="009D473A" w:rsidP="00D535E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2393305" w14:textId="77777777" w:rsidR="009D473A" w:rsidRPr="00DF315E" w:rsidRDefault="009D473A" w:rsidP="00D535E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76706BB" w14:textId="11F48F1B" w:rsidR="009D473A" w:rsidRPr="00DF315E" w:rsidRDefault="009D473A" w:rsidP="00D535E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443015">
              <w:rPr>
                <w:rFonts w:ascii="Gotham Book" w:hAnsi="Gotham Book"/>
                <w:sz w:val="24"/>
                <w:szCs w:val="24"/>
              </w:rPr>
              <w:t xml:space="preserve"> and response options for short constructed response questions.</w:t>
            </w:r>
          </w:p>
          <w:p w14:paraId="067A0B74" w14:textId="279F2DDE" w:rsidR="009D473A" w:rsidRPr="00DF315E" w:rsidRDefault="009D473A" w:rsidP="00D535E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443015">
              <w:rPr>
                <w:rFonts w:ascii="Gotham Book" w:hAnsi="Gotham Book"/>
                <w:sz w:val="24"/>
                <w:szCs w:val="24"/>
              </w:rPr>
              <w:t>the amount of writing</w:t>
            </w:r>
          </w:p>
          <w:p w14:paraId="13161A9D" w14:textId="77777777" w:rsidR="009D473A" w:rsidRPr="00DF315E" w:rsidRDefault="009D473A" w:rsidP="00D535E6">
            <w:pPr>
              <w:rPr>
                <w:rFonts w:ascii="Gotham Book" w:hAnsi="Gotham Book"/>
                <w:sz w:val="24"/>
                <w:szCs w:val="24"/>
              </w:rPr>
            </w:pPr>
          </w:p>
        </w:tc>
      </w:tr>
      <w:tr w:rsidR="009D473A" w:rsidRPr="00DF315E" w14:paraId="4D02AA37" w14:textId="77777777" w:rsidTr="00D535E6">
        <w:tc>
          <w:tcPr>
            <w:tcW w:w="2515" w:type="dxa"/>
            <w:shd w:val="clear" w:color="auto" w:fill="E8E8E8" w:themeFill="background2"/>
          </w:tcPr>
          <w:p w14:paraId="0D467A2F" w14:textId="77777777" w:rsidR="009D473A" w:rsidRPr="00BC511F" w:rsidRDefault="009D473A" w:rsidP="00D535E6">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3CA22E8" w14:textId="77777777" w:rsidR="009D473A" w:rsidRPr="00DF315E" w:rsidRDefault="009D473A" w:rsidP="00D535E6">
            <w:pPr>
              <w:rPr>
                <w:rFonts w:ascii="Gotham Book" w:hAnsi="Gotham Book"/>
                <w:b/>
                <w:bCs/>
                <w:i/>
                <w:iCs/>
                <w:color w:val="404040" w:themeColor="text1" w:themeTint="BF"/>
                <w:sz w:val="28"/>
                <w:szCs w:val="32"/>
              </w:rPr>
            </w:pPr>
          </w:p>
          <w:p w14:paraId="5CAA0335" w14:textId="77777777" w:rsidR="009D473A" w:rsidRPr="00DF315E" w:rsidRDefault="009D473A" w:rsidP="00D535E6">
            <w:pPr>
              <w:rPr>
                <w:rFonts w:ascii="Gotham Book" w:hAnsi="Gotham Book"/>
                <w:b/>
                <w:bCs/>
                <w:i/>
                <w:iCs/>
                <w:color w:val="404040" w:themeColor="text1" w:themeTint="BF"/>
                <w:sz w:val="28"/>
                <w:szCs w:val="32"/>
              </w:rPr>
            </w:pPr>
          </w:p>
        </w:tc>
        <w:tc>
          <w:tcPr>
            <w:tcW w:w="8275" w:type="dxa"/>
          </w:tcPr>
          <w:p w14:paraId="0490BEB8" w14:textId="429559EA" w:rsidR="00443015" w:rsidRDefault="00443015" w:rsidP="00D535E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 xml:space="preserve">Explain the significance of the following dates: 1861, Civil War begins. </w:t>
            </w:r>
          </w:p>
          <w:p w14:paraId="0A0F9096" w14:textId="2F200747" w:rsidR="00443015" w:rsidRDefault="00443015" w:rsidP="00D535E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7A0DB3B1" w14:textId="5A52DF50" w:rsidR="00443015" w:rsidRPr="00443015" w:rsidRDefault="00443015" w:rsidP="00443015">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2F733C8" w14:textId="77777777" w:rsidR="00443015" w:rsidRDefault="009D473A" w:rsidP="00443015">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B6C6456" w14:textId="77777777" w:rsidR="00443015" w:rsidRDefault="00443015" w:rsidP="00443015">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443015">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0E4D7809" w14:textId="16E0BCF3" w:rsidR="00443015" w:rsidRPr="00443015" w:rsidRDefault="00443015" w:rsidP="00443015">
            <w:pPr>
              <w:pStyle w:val="ListParagraph"/>
              <w:spacing w:after="0" w:line="240" w:lineRule="auto"/>
              <w:rPr>
                <w:rFonts w:ascii="Gotham Book" w:hAnsi="Gotham Book"/>
                <w:sz w:val="24"/>
                <w:szCs w:val="24"/>
              </w:rPr>
            </w:pPr>
          </w:p>
        </w:tc>
      </w:tr>
    </w:tbl>
    <w:p w14:paraId="7A48E71E" w14:textId="77777777" w:rsidR="009D473A" w:rsidRPr="00DF315E" w:rsidRDefault="009D473A" w:rsidP="009D473A">
      <w:pPr>
        <w:rPr>
          <w:rFonts w:ascii="Gotham Book" w:hAnsi="Gotham Book"/>
          <w:sz w:val="22"/>
          <w:szCs w:val="22"/>
        </w:rPr>
      </w:pPr>
    </w:p>
    <w:p w14:paraId="59D7580B" w14:textId="77777777" w:rsidR="009D473A" w:rsidRDefault="009D473A" w:rsidP="009D473A">
      <w:pPr>
        <w:spacing w:after="0" w:line="240" w:lineRule="auto"/>
        <w:jc w:val="center"/>
        <w:rPr>
          <w:rFonts w:ascii="Gotham Book" w:hAnsi="Gotham Book"/>
          <w:b/>
          <w:bCs/>
          <w:color w:val="747474" w:themeColor="background2" w:themeShade="80"/>
          <w:sz w:val="34"/>
          <w:szCs w:val="32"/>
        </w:rPr>
      </w:pPr>
    </w:p>
    <w:p w14:paraId="40FE5203"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009DFB1"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6840566"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5489CA4F"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C491849"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4B351A9"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05C69B23"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74E78B5"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7B999CF7"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3E2571B6"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2A403B0D"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3C52514F"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2BDF28E1"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D2FED02"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5471D50A"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54A514B0"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0BC57288"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E19AFC4"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3A8E4D42"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4E8BDC09"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1E269CCA"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6F4F587A"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369B3E18" w14:textId="77777777" w:rsidR="00443015" w:rsidRDefault="00443015" w:rsidP="009D473A">
      <w:pPr>
        <w:spacing w:after="0" w:line="240" w:lineRule="auto"/>
        <w:jc w:val="center"/>
        <w:rPr>
          <w:rFonts w:ascii="Gotham Book" w:hAnsi="Gotham Book"/>
          <w:b/>
          <w:bCs/>
          <w:color w:val="747474" w:themeColor="background2" w:themeShade="80"/>
          <w:sz w:val="34"/>
          <w:szCs w:val="32"/>
        </w:rPr>
      </w:pPr>
    </w:p>
    <w:p w14:paraId="1B9826D4" w14:textId="77777777" w:rsidR="00443015" w:rsidRPr="00DF315E" w:rsidRDefault="00443015" w:rsidP="009D473A">
      <w:pPr>
        <w:spacing w:after="0" w:line="240" w:lineRule="auto"/>
        <w:jc w:val="center"/>
        <w:rPr>
          <w:rFonts w:ascii="Gotham Book" w:hAnsi="Gotham Book"/>
          <w:b/>
          <w:bCs/>
          <w:color w:val="747474" w:themeColor="background2" w:themeShade="80"/>
          <w:sz w:val="34"/>
          <w:szCs w:val="32"/>
        </w:rPr>
      </w:pPr>
    </w:p>
    <w:p w14:paraId="3559786F" w14:textId="432319A9" w:rsidR="009D473A" w:rsidRPr="00DF315E" w:rsidRDefault="009D473A" w:rsidP="009D473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43015">
        <w:rPr>
          <w:rFonts w:ascii="Gotham Book" w:hAnsi="Gotham Book"/>
          <w:b/>
          <w:bCs/>
          <w:color w:val="000000" w:themeColor="text1"/>
          <w:sz w:val="34"/>
          <w:szCs w:val="32"/>
        </w:rPr>
        <w:t>Causes of the Civil War Guided Notes</w:t>
      </w:r>
    </w:p>
    <w:p w14:paraId="446E1D61" w14:textId="77777777" w:rsidR="009D473A" w:rsidRPr="00DF315E" w:rsidRDefault="009D473A" w:rsidP="009D473A">
      <w:pPr>
        <w:rPr>
          <w:rFonts w:ascii="Gotham Book" w:hAnsi="Gotham Book"/>
          <w:sz w:val="22"/>
          <w:szCs w:val="22"/>
        </w:rPr>
      </w:pPr>
    </w:p>
    <w:tbl>
      <w:tblPr>
        <w:tblStyle w:val="TableGrid"/>
        <w:tblW w:w="0" w:type="auto"/>
        <w:tblLook w:val="04A0" w:firstRow="1" w:lastRow="0" w:firstColumn="1" w:lastColumn="0" w:noHBand="0" w:noVBand="1"/>
      </w:tblPr>
      <w:tblGrid>
        <w:gridCol w:w="2198"/>
        <w:gridCol w:w="7152"/>
      </w:tblGrid>
      <w:tr w:rsidR="009D473A" w:rsidRPr="00DF315E" w14:paraId="5FBF7359" w14:textId="77777777" w:rsidTr="00D535E6">
        <w:tc>
          <w:tcPr>
            <w:tcW w:w="2515" w:type="dxa"/>
            <w:shd w:val="clear" w:color="auto" w:fill="D9D9D9" w:themeFill="background1" w:themeFillShade="D9"/>
          </w:tcPr>
          <w:p w14:paraId="4F69F106" w14:textId="77777777" w:rsidR="009D473A" w:rsidRPr="00BC511F" w:rsidRDefault="009D473A" w:rsidP="00D535E6">
            <w:pPr>
              <w:rPr>
                <w:rFonts w:ascii="Gotham Book" w:hAnsi="Gotham Book"/>
                <w:b/>
                <w:bCs/>
                <w:sz w:val="28"/>
                <w:szCs w:val="32"/>
              </w:rPr>
            </w:pPr>
            <w:r w:rsidRPr="00BC511F">
              <w:rPr>
                <w:rFonts w:ascii="Gotham Book" w:hAnsi="Gotham Book"/>
                <w:b/>
                <w:bCs/>
                <w:sz w:val="28"/>
                <w:szCs w:val="32"/>
              </w:rPr>
              <w:t>Warm-up</w:t>
            </w:r>
          </w:p>
          <w:p w14:paraId="2E504467" w14:textId="77777777" w:rsidR="009D473A" w:rsidRPr="00BC511F" w:rsidRDefault="009D473A" w:rsidP="00D535E6">
            <w:pPr>
              <w:rPr>
                <w:rFonts w:ascii="Gotham Book" w:hAnsi="Gotham Book"/>
                <w:b/>
                <w:bCs/>
                <w:sz w:val="28"/>
                <w:szCs w:val="32"/>
              </w:rPr>
            </w:pPr>
          </w:p>
          <w:p w14:paraId="585CF95C" w14:textId="77777777" w:rsidR="009D473A" w:rsidRPr="00BC511F" w:rsidRDefault="009D473A" w:rsidP="00D535E6">
            <w:pPr>
              <w:rPr>
                <w:rFonts w:ascii="Gotham Book" w:hAnsi="Gotham Book"/>
                <w:b/>
                <w:bCs/>
                <w:sz w:val="28"/>
                <w:szCs w:val="32"/>
              </w:rPr>
            </w:pPr>
          </w:p>
          <w:p w14:paraId="01D72561" w14:textId="77777777" w:rsidR="009D473A" w:rsidRPr="00BC511F" w:rsidRDefault="009D473A" w:rsidP="00D535E6">
            <w:pPr>
              <w:rPr>
                <w:rFonts w:ascii="Gotham Book" w:hAnsi="Gotham Book"/>
                <w:b/>
                <w:bCs/>
                <w:sz w:val="28"/>
                <w:szCs w:val="32"/>
              </w:rPr>
            </w:pPr>
          </w:p>
        </w:tc>
        <w:tc>
          <w:tcPr>
            <w:tcW w:w="8275" w:type="dxa"/>
          </w:tcPr>
          <w:p w14:paraId="35FCE920" w14:textId="77777777" w:rsidR="009D473A" w:rsidRDefault="00443015" w:rsidP="00443015">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read an excerpt from the </w:t>
            </w:r>
            <w:r w:rsidRPr="00443015">
              <w:rPr>
                <w:rFonts w:ascii="Gotham Book" w:hAnsi="Gotham Book"/>
                <w:sz w:val="24"/>
                <w:szCs w:val="24"/>
              </w:rPr>
              <w:t>State of Texas Declaration of Secession</w:t>
            </w:r>
            <w:r>
              <w:rPr>
                <w:rFonts w:ascii="Gotham Book" w:hAnsi="Gotham Book"/>
                <w:sz w:val="24"/>
                <w:szCs w:val="24"/>
              </w:rPr>
              <w:t xml:space="preserve"> which </w:t>
            </w:r>
            <w:r w:rsidR="002F7EB0">
              <w:rPr>
                <w:rFonts w:ascii="Gotham Book" w:hAnsi="Gotham Book"/>
                <w:sz w:val="24"/>
                <w:szCs w:val="24"/>
              </w:rPr>
              <w:t xml:space="preserve">lists several grievances the state of Texas had against the U.S. government including what Texans deemed unfair representation, not adequately protecting Texans from American Indian attacks, and electing an anti-slavery president to “ruin” the slave states. </w:t>
            </w:r>
          </w:p>
          <w:p w14:paraId="6F95964E" w14:textId="77777777" w:rsidR="002F7EB0" w:rsidRDefault="002F7EB0" w:rsidP="00443015">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will explain ONE of the grievances the Texans talked about in the document. </w:t>
            </w:r>
          </w:p>
          <w:p w14:paraId="7A6D14FD" w14:textId="050B7474" w:rsidR="002F7EB0" w:rsidRDefault="002F7EB0" w:rsidP="00443015">
            <w:pPr>
              <w:pStyle w:val="ListParagraph"/>
              <w:numPr>
                <w:ilvl w:val="0"/>
                <w:numId w:val="10"/>
              </w:numPr>
              <w:spacing w:after="0" w:line="276" w:lineRule="auto"/>
              <w:rPr>
                <w:rFonts w:ascii="Gotham Book" w:hAnsi="Gotham Book"/>
                <w:sz w:val="24"/>
                <w:szCs w:val="24"/>
              </w:rPr>
            </w:pPr>
            <w:r w:rsidRPr="002F7EB0">
              <w:rPr>
                <w:rFonts w:ascii="Gotham Book" w:hAnsi="Gotham Book"/>
                <w:b/>
                <w:bCs/>
                <w:i/>
                <w:iCs/>
                <w:sz w:val="24"/>
                <w:szCs w:val="24"/>
              </w:rPr>
              <w:t>NOTE</w:t>
            </w:r>
            <w:r>
              <w:rPr>
                <w:rFonts w:ascii="Gotham Book" w:hAnsi="Gotham Book"/>
                <w:sz w:val="24"/>
                <w:szCs w:val="24"/>
              </w:rPr>
              <w:t xml:space="preserve">: The excerpt includes vocabulary support for unfamiliar/challenging academic terms including impoverished, appropriations, and consummation. </w:t>
            </w:r>
          </w:p>
          <w:p w14:paraId="6B8F07E3" w14:textId="77777777" w:rsidR="002F7EB0" w:rsidRDefault="002F7EB0" w:rsidP="00443015">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54E299B" w14:textId="77777777" w:rsidR="002F7EB0" w:rsidRDefault="002F7EB0" w:rsidP="00443015">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5C19D61" w14:textId="446607C0" w:rsidR="002F7EB0" w:rsidRPr="00443015" w:rsidRDefault="002F7EB0" w:rsidP="002F7EB0">
            <w:pPr>
              <w:pStyle w:val="ListParagraph"/>
              <w:spacing w:after="0" w:line="276" w:lineRule="auto"/>
              <w:rPr>
                <w:rFonts w:ascii="Gotham Book" w:hAnsi="Gotham Book"/>
                <w:sz w:val="24"/>
                <w:szCs w:val="24"/>
              </w:rPr>
            </w:pPr>
          </w:p>
        </w:tc>
      </w:tr>
      <w:tr w:rsidR="009D473A" w:rsidRPr="00DF315E" w14:paraId="44315818" w14:textId="77777777" w:rsidTr="00D535E6">
        <w:tc>
          <w:tcPr>
            <w:tcW w:w="2515" w:type="dxa"/>
            <w:shd w:val="clear" w:color="auto" w:fill="D9D9D9" w:themeFill="background1" w:themeFillShade="D9"/>
          </w:tcPr>
          <w:p w14:paraId="4EB8F765" w14:textId="77777777" w:rsidR="009D473A" w:rsidRPr="00BC511F" w:rsidRDefault="009D473A" w:rsidP="00D535E6">
            <w:pPr>
              <w:rPr>
                <w:rFonts w:ascii="Gotham Book" w:hAnsi="Gotham Book"/>
                <w:b/>
                <w:bCs/>
                <w:sz w:val="28"/>
                <w:szCs w:val="32"/>
              </w:rPr>
            </w:pPr>
            <w:r w:rsidRPr="00BC511F">
              <w:rPr>
                <w:rFonts w:ascii="Gotham Book" w:hAnsi="Gotham Book"/>
                <w:b/>
                <w:bCs/>
                <w:sz w:val="28"/>
                <w:szCs w:val="32"/>
              </w:rPr>
              <w:t>Lesson</w:t>
            </w:r>
          </w:p>
        </w:tc>
        <w:tc>
          <w:tcPr>
            <w:tcW w:w="8275" w:type="dxa"/>
          </w:tcPr>
          <w:p w14:paraId="3FB957BB" w14:textId="77777777" w:rsidR="009D473A"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use information provided in the slideshow to learn about seven significant events related to the Westward expansion of slavery that led to the Civil War.</w:t>
            </w:r>
          </w:p>
          <w:p w14:paraId="4D8103B1" w14:textId="77777777"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Based on their prior knowledge of the North and the South’s positions on slavery, students will identify how both regions likely responded to each of the significant events, and how each event contributed to the increasing sectional divisions over slavery.</w:t>
            </w:r>
          </w:p>
          <w:p w14:paraId="607C4F12" w14:textId="0704E31D"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sidRPr="002F7EB0">
              <w:rPr>
                <w:rFonts w:ascii="Gotham Book" w:hAnsi="Gotham Book"/>
                <w:b/>
                <w:bCs/>
                <w:i/>
                <w:iCs/>
                <w:color w:val="000000" w:themeColor="text1"/>
                <w:sz w:val="24"/>
                <w:szCs w:val="24"/>
              </w:rPr>
              <w:t>NOTE</w:t>
            </w:r>
            <w:r>
              <w:rPr>
                <w:rFonts w:ascii="Gotham Book" w:hAnsi="Gotham Book"/>
                <w:color w:val="000000" w:themeColor="text1"/>
                <w:sz w:val="24"/>
                <w:szCs w:val="24"/>
              </w:rPr>
              <w:t xml:space="preserve">: This is a Guided Notes lesson, however the students do not write traditional notes. The information from the slideshow notes is already included in their worksheet. Rather than write the notes, they examine the notes provided and respond to questions about each event. </w:t>
            </w:r>
          </w:p>
          <w:p w14:paraId="7120D688" w14:textId="513A2D06"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Slides </w:t>
            </w:r>
            <w:r w:rsidR="00FB7F5B">
              <w:rPr>
                <w:rFonts w:ascii="Gotham Book" w:hAnsi="Gotham Book"/>
                <w:color w:val="000000" w:themeColor="text1"/>
                <w:sz w:val="24"/>
                <w:szCs w:val="24"/>
              </w:rPr>
              <w:t>7 – 14 provide notes for each of the events covered in the lesson.</w:t>
            </w:r>
          </w:p>
          <w:p w14:paraId="25B8420C" w14:textId="77777777" w:rsidR="002F7EB0" w:rsidRDefault="002F7EB0" w:rsidP="002F7EB0">
            <w:pPr>
              <w:pStyle w:val="ListParagraph"/>
              <w:spacing w:after="0" w:line="240" w:lineRule="auto"/>
              <w:rPr>
                <w:rFonts w:ascii="Gotham Book" w:hAnsi="Gotham Book"/>
                <w:color w:val="000000" w:themeColor="text1"/>
                <w:sz w:val="24"/>
                <w:szCs w:val="24"/>
                <w:u w:val="single"/>
              </w:rPr>
            </w:pPr>
          </w:p>
          <w:p w14:paraId="737A9AFD" w14:textId="2981B7ED"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Students </w:t>
            </w:r>
            <w:bookmarkStart w:id="6" w:name="_Hlk206685143"/>
            <w:r>
              <w:rPr>
                <w:rFonts w:ascii="Gotham Book" w:hAnsi="Gotham Book"/>
                <w:color w:val="000000" w:themeColor="text1"/>
                <w:sz w:val="24"/>
                <w:szCs w:val="24"/>
              </w:rPr>
              <w:t xml:space="preserve">answer short constructed response questions about each event to identify how the North and the South most likely responded to the events and explain how the events increased sectional tension leading to the Civil War. Advanced work includes an additional optional activity in which students are directed to create their own </w:t>
            </w:r>
            <w:r>
              <w:rPr>
                <w:rFonts w:ascii="Gotham Book" w:hAnsi="Gotham Book"/>
                <w:color w:val="000000" w:themeColor="text1"/>
                <w:sz w:val="24"/>
                <w:szCs w:val="24"/>
              </w:rPr>
              <w:lastRenderedPageBreak/>
              <w:t xml:space="preserve">timeline of the causes of the Civil War based on information provided in the lesson. </w:t>
            </w:r>
            <w:bookmarkEnd w:id="6"/>
          </w:p>
          <w:p w14:paraId="4198E062" w14:textId="77777777" w:rsidR="002F7EB0" w:rsidRPr="002F7EB0" w:rsidRDefault="002F7EB0" w:rsidP="002F7EB0">
            <w:pPr>
              <w:pStyle w:val="ListParagraph"/>
              <w:rPr>
                <w:rFonts w:ascii="Gotham Book" w:hAnsi="Gotham Book"/>
                <w:color w:val="000000" w:themeColor="text1"/>
                <w:sz w:val="24"/>
                <w:szCs w:val="24"/>
                <w:u w:val="single"/>
              </w:rPr>
            </w:pPr>
          </w:p>
          <w:p w14:paraId="0A98E27D" w14:textId="77777777"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 xml:space="preserve">Students </w:t>
            </w:r>
            <w:bookmarkStart w:id="7" w:name="_Hlk206685117"/>
            <w:r>
              <w:rPr>
                <w:rFonts w:ascii="Gotham Book" w:hAnsi="Gotham Book"/>
                <w:color w:val="000000" w:themeColor="text1"/>
                <w:sz w:val="24"/>
                <w:szCs w:val="24"/>
              </w:rPr>
              <w:t>answer short constructed response questions with sentence stems provided to identify how the North and the South most likely responded to the events and explain how the events increased sectional tension leading to the Civil War.</w:t>
            </w:r>
            <w:bookmarkEnd w:id="7"/>
          </w:p>
          <w:p w14:paraId="263585E4" w14:textId="77777777" w:rsidR="002F7EB0" w:rsidRPr="002F7EB0" w:rsidRDefault="002F7EB0" w:rsidP="002F7EB0">
            <w:pPr>
              <w:pStyle w:val="ListParagraph"/>
              <w:rPr>
                <w:rFonts w:ascii="Gotham Book" w:hAnsi="Gotham Book"/>
                <w:color w:val="000000" w:themeColor="text1"/>
                <w:sz w:val="24"/>
                <w:szCs w:val="24"/>
                <w:u w:val="single"/>
              </w:rPr>
            </w:pPr>
          </w:p>
          <w:p w14:paraId="1B09838B" w14:textId="49ECD942" w:rsidR="002F7EB0" w:rsidRPr="002F7EB0" w:rsidRDefault="002F7EB0" w:rsidP="002F7EB0">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w:t>
            </w:r>
            <w:bookmarkStart w:id="8" w:name="_Hlk206685130"/>
            <w:r>
              <w:rPr>
                <w:rFonts w:ascii="Gotham Book" w:hAnsi="Gotham Book"/>
                <w:color w:val="000000" w:themeColor="text1"/>
                <w:sz w:val="24"/>
                <w:szCs w:val="24"/>
              </w:rPr>
              <w:t>answer short constructed response questions with sentence stems provided and response options to choose from to finish each question in order to identify how the North and the South most likely responded to the events and explain how the events increased sectional tension leading to the Civil War.</w:t>
            </w:r>
            <w:bookmarkEnd w:id="8"/>
          </w:p>
          <w:p w14:paraId="57081F1F" w14:textId="77777777" w:rsidR="002F7EB0" w:rsidRPr="002F7EB0" w:rsidRDefault="002F7EB0" w:rsidP="002F7EB0">
            <w:pPr>
              <w:pStyle w:val="ListParagraph"/>
              <w:rPr>
                <w:rFonts w:ascii="Gotham Book" w:hAnsi="Gotham Book"/>
                <w:color w:val="000000" w:themeColor="text1"/>
                <w:sz w:val="24"/>
                <w:szCs w:val="24"/>
                <w:u w:val="single"/>
              </w:rPr>
            </w:pPr>
          </w:p>
          <w:p w14:paraId="28F7C445" w14:textId="462B18EF" w:rsidR="002F7EB0" w:rsidRPr="002F7EB0" w:rsidRDefault="002F7EB0" w:rsidP="002F7EB0">
            <w:pPr>
              <w:pStyle w:val="ListParagraph"/>
              <w:spacing w:after="0" w:line="240" w:lineRule="auto"/>
              <w:rPr>
                <w:rFonts w:ascii="Gotham Book" w:hAnsi="Gotham Book"/>
                <w:color w:val="000000" w:themeColor="text1"/>
                <w:sz w:val="24"/>
                <w:szCs w:val="24"/>
                <w:u w:val="single"/>
              </w:rPr>
            </w:pPr>
          </w:p>
        </w:tc>
      </w:tr>
      <w:tr w:rsidR="009D473A" w:rsidRPr="00DF315E" w14:paraId="66921D26" w14:textId="77777777" w:rsidTr="00D535E6">
        <w:tc>
          <w:tcPr>
            <w:tcW w:w="2515" w:type="dxa"/>
            <w:shd w:val="clear" w:color="auto" w:fill="D9D9D9" w:themeFill="background1" w:themeFillShade="D9"/>
          </w:tcPr>
          <w:p w14:paraId="340D6012" w14:textId="77777777" w:rsidR="009D473A" w:rsidRPr="00BC511F" w:rsidRDefault="009D473A" w:rsidP="00D535E6">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02B53BB" w14:textId="77777777" w:rsidR="009D473A" w:rsidRPr="00BC511F" w:rsidRDefault="009D473A" w:rsidP="00D535E6">
            <w:pPr>
              <w:rPr>
                <w:rFonts w:ascii="Gotham Book" w:hAnsi="Gotham Book"/>
                <w:b/>
                <w:bCs/>
                <w:sz w:val="28"/>
                <w:szCs w:val="32"/>
              </w:rPr>
            </w:pPr>
          </w:p>
          <w:p w14:paraId="1937E176" w14:textId="77777777" w:rsidR="009D473A" w:rsidRPr="00BC511F" w:rsidRDefault="009D473A" w:rsidP="00D535E6">
            <w:pPr>
              <w:rPr>
                <w:rFonts w:ascii="Gotham Book" w:hAnsi="Gotham Book"/>
                <w:sz w:val="28"/>
                <w:szCs w:val="32"/>
              </w:rPr>
            </w:pPr>
          </w:p>
        </w:tc>
        <w:tc>
          <w:tcPr>
            <w:tcW w:w="8275" w:type="dxa"/>
          </w:tcPr>
          <w:p w14:paraId="6CF1C48B" w14:textId="2A58E42A" w:rsidR="009D473A" w:rsidRDefault="002F7EB0" w:rsidP="002F7EB0">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complete three sentence stems to create a short constructed response identifying the primary cause of the Civil War (slavery), choose one event from the lesson, and explaining how that event contributed to the sectional divisions over slavery.</w:t>
            </w:r>
          </w:p>
          <w:p w14:paraId="55809B67" w14:textId="77777777" w:rsidR="002F7EB0" w:rsidRDefault="002F7EB0" w:rsidP="002F7EB0">
            <w:pPr>
              <w:pStyle w:val="ListParagraph"/>
              <w:numPr>
                <w:ilvl w:val="0"/>
                <w:numId w:val="12"/>
              </w:numPr>
              <w:spacing w:after="0" w:line="240" w:lineRule="auto"/>
              <w:rPr>
                <w:rFonts w:ascii="Gotham Book" w:hAnsi="Gotham Book"/>
                <w:sz w:val="24"/>
                <w:szCs w:val="24"/>
              </w:rPr>
            </w:pPr>
            <w:r>
              <w:rPr>
                <w:rFonts w:ascii="Gotham Book" w:hAnsi="Gotham Book"/>
                <w:sz w:val="24"/>
                <w:szCs w:val="24"/>
              </w:rPr>
              <w:t>Slides 15 and 16 restate the directions and provide sentence stems to guide student responses when sharing with the class.</w:t>
            </w:r>
          </w:p>
          <w:p w14:paraId="0FD12C03" w14:textId="7542F361" w:rsidR="002F7EB0" w:rsidRPr="002F7EB0" w:rsidRDefault="002F7EB0" w:rsidP="002F7EB0">
            <w:pPr>
              <w:pStyle w:val="ListParagraph"/>
              <w:spacing w:after="0" w:line="240" w:lineRule="auto"/>
              <w:rPr>
                <w:rFonts w:ascii="Gotham Book" w:hAnsi="Gotham Book"/>
                <w:sz w:val="24"/>
                <w:szCs w:val="24"/>
              </w:rPr>
            </w:pPr>
          </w:p>
        </w:tc>
      </w:tr>
    </w:tbl>
    <w:p w14:paraId="0E7537B2" w14:textId="77777777" w:rsidR="009D473A" w:rsidRPr="00DF315E" w:rsidRDefault="009D473A" w:rsidP="009D473A">
      <w:pPr>
        <w:rPr>
          <w:rFonts w:ascii="Gotham Book" w:hAnsi="Gotham Book"/>
          <w:sz w:val="22"/>
          <w:szCs w:val="22"/>
        </w:rPr>
      </w:pPr>
    </w:p>
    <w:p w14:paraId="41E65B24" w14:textId="77777777" w:rsidR="009D473A" w:rsidRPr="00DF315E" w:rsidRDefault="009D473A" w:rsidP="009D473A">
      <w:pPr>
        <w:rPr>
          <w:rFonts w:ascii="Gotham Book" w:hAnsi="Gotham Book"/>
          <w:noProof/>
          <w:sz w:val="18"/>
          <w:szCs w:val="18"/>
        </w:rPr>
      </w:pPr>
    </w:p>
    <w:p w14:paraId="3D4345C0" w14:textId="334A564F" w:rsidR="009D473A" w:rsidRDefault="009D473A" w:rsidP="009D473A">
      <w:pPr>
        <w:rPr>
          <w:rFonts w:ascii="Gotham Book" w:hAnsi="Gotham Book"/>
          <w:noProof/>
          <w:sz w:val="18"/>
          <w:szCs w:val="18"/>
        </w:rPr>
      </w:pPr>
    </w:p>
    <w:p w14:paraId="4678663B" w14:textId="77777777" w:rsidR="00FB7F5B" w:rsidRDefault="00FB7F5B" w:rsidP="009D473A">
      <w:pPr>
        <w:rPr>
          <w:rFonts w:ascii="Gotham Book" w:hAnsi="Gotham Book"/>
          <w:noProof/>
          <w:sz w:val="18"/>
          <w:szCs w:val="18"/>
        </w:rPr>
      </w:pPr>
    </w:p>
    <w:p w14:paraId="7AC7411A" w14:textId="77777777" w:rsidR="00FB7F5B" w:rsidRDefault="00FB7F5B" w:rsidP="009D473A">
      <w:pPr>
        <w:rPr>
          <w:rFonts w:ascii="Gotham Book" w:hAnsi="Gotham Book"/>
          <w:noProof/>
          <w:sz w:val="18"/>
          <w:szCs w:val="18"/>
        </w:rPr>
      </w:pPr>
    </w:p>
    <w:p w14:paraId="6F8B5085" w14:textId="77777777" w:rsidR="00FB7F5B" w:rsidRDefault="00FB7F5B" w:rsidP="009D473A">
      <w:pPr>
        <w:rPr>
          <w:rFonts w:ascii="Gotham Book" w:hAnsi="Gotham Book"/>
          <w:noProof/>
          <w:sz w:val="18"/>
          <w:szCs w:val="18"/>
        </w:rPr>
      </w:pPr>
    </w:p>
    <w:p w14:paraId="74C6898D" w14:textId="77777777" w:rsidR="00FB7F5B" w:rsidRDefault="00FB7F5B" w:rsidP="009D473A">
      <w:pPr>
        <w:rPr>
          <w:rFonts w:ascii="Gotham Book" w:hAnsi="Gotham Book"/>
          <w:noProof/>
          <w:sz w:val="18"/>
          <w:szCs w:val="18"/>
        </w:rPr>
      </w:pPr>
    </w:p>
    <w:p w14:paraId="7EBAF495" w14:textId="77777777" w:rsidR="00FB7F5B" w:rsidRDefault="00FB7F5B" w:rsidP="009D473A">
      <w:pPr>
        <w:rPr>
          <w:rFonts w:ascii="Gotham Book" w:hAnsi="Gotham Book"/>
          <w:noProof/>
          <w:sz w:val="18"/>
          <w:szCs w:val="18"/>
        </w:rPr>
      </w:pPr>
    </w:p>
    <w:p w14:paraId="49B91697" w14:textId="77777777" w:rsidR="00FB7F5B" w:rsidRDefault="00FB7F5B" w:rsidP="009D473A">
      <w:pPr>
        <w:rPr>
          <w:rFonts w:ascii="Gotham Book" w:hAnsi="Gotham Book"/>
          <w:noProof/>
          <w:sz w:val="18"/>
          <w:szCs w:val="18"/>
        </w:rPr>
      </w:pPr>
    </w:p>
    <w:p w14:paraId="2BD9C04C" w14:textId="77777777" w:rsidR="00FB7F5B" w:rsidRDefault="00FB7F5B" w:rsidP="009D473A">
      <w:pPr>
        <w:rPr>
          <w:rFonts w:ascii="Gotham Book" w:hAnsi="Gotham Book"/>
          <w:noProof/>
          <w:sz w:val="18"/>
          <w:szCs w:val="18"/>
        </w:rPr>
      </w:pPr>
    </w:p>
    <w:p w14:paraId="78708776" w14:textId="77777777" w:rsidR="00FB7F5B" w:rsidRDefault="00FB7F5B" w:rsidP="009D473A">
      <w:pPr>
        <w:rPr>
          <w:rFonts w:ascii="Gotham Book" w:hAnsi="Gotham Book"/>
          <w:noProof/>
          <w:sz w:val="18"/>
          <w:szCs w:val="18"/>
        </w:rPr>
      </w:pPr>
    </w:p>
    <w:p w14:paraId="5E7C4A25" w14:textId="77777777" w:rsidR="00FB7F5B" w:rsidRDefault="00FB7F5B" w:rsidP="009D473A">
      <w:pPr>
        <w:rPr>
          <w:rFonts w:ascii="Gotham Book" w:hAnsi="Gotham Book"/>
          <w:noProof/>
          <w:sz w:val="18"/>
          <w:szCs w:val="18"/>
        </w:rPr>
      </w:pPr>
    </w:p>
    <w:p w14:paraId="5882D2B5" w14:textId="77777777" w:rsidR="00FB7F5B" w:rsidRPr="00DF315E" w:rsidRDefault="00FB7F5B" w:rsidP="009D473A">
      <w:pPr>
        <w:rPr>
          <w:rFonts w:ascii="Gotham Book" w:hAnsi="Gotham Book"/>
          <w:noProof/>
          <w:sz w:val="18"/>
          <w:szCs w:val="18"/>
        </w:rPr>
      </w:pPr>
    </w:p>
    <w:p w14:paraId="58D7B023" w14:textId="77777777" w:rsidR="009D473A" w:rsidRPr="00DF315E" w:rsidRDefault="009D473A" w:rsidP="009D473A">
      <w:pPr>
        <w:rPr>
          <w:rFonts w:ascii="Gotham Book" w:hAnsi="Gotham Book"/>
          <w:noProof/>
          <w:sz w:val="18"/>
          <w:szCs w:val="18"/>
        </w:rPr>
      </w:pPr>
    </w:p>
    <w:p w14:paraId="658D234D" w14:textId="77777777" w:rsidR="009D473A" w:rsidRPr="00DF315E" w:rsidRDefault="009D473A" w:rsidP="009D473A">
      <w:pPr>
        <w:rPr>
          <w:rFonts w:ascii="Gotham Book" w:hAnsi="Gotham Book"/>
          <w:noProof/>
          <w:sz w:val="18"/>
          <w:szCs w:val="18"/>
        </w:rPr>
      </w:pPr>
    </w:p>
    <w:p w14:paraId="72903316" w14:textId="77777777" w:rsidR="009D473A" w:rsidRDefault="009D473A" w:rsidP="009D473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104C556" w14:textId="590A58BB" w:rsidR="009D473A" w:rsidRDefault="00FB7F5B" w:rsidP="009D473A">
      <w:pPr>
        <w:pStyle w:val="ListParagraph"/>
        <w:numPr>
          <w:ilvl w:val="0"/>
          <w:numId w:val="2"/>
        </w:numPr>
        <w:rPr>
          <w:rFonts w:ascii="Gotham Book" w:hAnsi="Gotham Book"/>
          <w:sz w:val="24"/>
          <w:szCs w:val="24"/>
        </w:rPr>
      </w:pPr>
      <w:r w:rsidRPr="00FB7F5B">
        <w:rPr>
          <w:rFonts w:ascii="Gotham Book" w:hAnsi="Gotham Book"/>
          <w:sz w:val="24"/>
          <w:szCs w:val="24"/>
        </w:rPr>
        <w:t>Brownrigg, R. T., and William Dunn Schoolfield. “[</w:t>
      </w:r>
      <w:bookmarkStart w:id="9" w:name="_Hlk206685158"/>
      <w:r w:rsidRPr="00FB7F5B">
        <w:rPr>
          <w:rFonts w:ascii="Gotham Book" w:hAnsi="Gotham Book"/>
          <w:sz w:val="24"/>
          <w:szCs w:val="24"/>
        </w:rPr>
        <w:t>State of Texas Declaration of Secession</w:t>
      </w:r>
      <w:bookmarkEnd w:id="9"/>
      <w:r w:rsidRPr="00FB7F5B">
        <w:rPr>
          <w:rFonts w:ascii="Gotham Book" w:hAnsi="Gotham Book"/>
          <w:sz w:val="24"/>
          <w:szCs w:val="24"/>
        </w:rPr>
        <w:t xml:space="preserve">].” The Portal to Texas History, June 30, 2015. </w:t>
      </w:r>
      <w:r w:rsidRPr="001E4D12">
        <w:rPr>
          <w:rFonts w:ascii="Gotham Book" w:hAnsi="Gotham Book"/>
          <w:sz w:val="24"/>
          <w:szCs w:val="24"/>
        </w:rPr>
        <w:t>https://texashistory.unt.edu/ark:/67531/metapth619463/m1/1/</w:t>
      </w:r>
      <w:r w:rsidRPr="00FB7F5B">
        <w:rPr>
          <w:rFonts w:ascii="Gotham Book" w:hAnsi="Gotham Book"/>
          <w:sz w:val="24"/>
          <w:szCs w:val="24"/>
        </w:rPr>
        <w:t> </w:t>
      </w:r>
    </w:p>
    <w:p w14:paraId="797842A6" w14:textId="27232468" w:rsidR="00FB7F5B" w:rsidRPr="00FB7F5B" w:rsidRDefault="00FB7F5B" w:rsidP="00FB7F5B">
      <w:pPr>
        <w:pStyle w:val="ListParagraph"/>
        <w:numPr>
          <w:ilvl w:val="0"/>
          <w:numId w:val="2"/>
        </w:numPr>
        <w:rPr>
          <w:rFonts w:ascii="Gotham Book" w:hAnsi="Gotham Book"/>
          <w:sz w:val="24"/>
          <w:szCs w:val="24"/>
        </w:rPr>
      </w:pPr>
      <w:bookmarkStart w:id="10" w:name="_Hlk206685191"/>
      <w:r w:rsidRPr="00FB7F5B">
        <w:rPr>
          <w:rFonts w:ascii="Gotham Book" w:hAnsi="Gotham Book"/>
          <w:i/>
          <w:iCs/>
          <w:sz w:val="24"/>
          <w:szCs w:val="24"/>
        </w:rPr>
        <w:t>Inauguration of Abraham Lincoln</w:t>
      </w:r>
      <w:bookmarkEnd w:id="10"/>
      <w:r w:rsidRPr="00FB7F5B">
        <w:rPr>
          <w:rFonts w:ascii="Gotham Book" w:hAnsi="Gotham Book"/>
          <w:i/>
          <w:iCs/>
          <w:sz w:val="24"/>
          <w:szCs w:val="24"/>
        </w:rPr>
        <w:t xml:space="preserve"> - March 4</w:t>
      </w:r>
      <w:r w:rsidRPr="00FB7F5B">
        <w:rPr>
          <w:rFonts w:ascii="Gotham Book" w:hAnsi="Gotham Book"/>
          <w:sz w:val="24"/>
          <w:szCs w:val="24"/>
        </w:rPr>
        <w:t>. Washington D.C, ca. 1935. [1861] Photograph</w:t>
      </w:r>
      <w:bookmarkStart w:id="11" w:name="_Hlk206685207"/>
      <w:r w:rsidRPr="00FB7F5B">
        <w:rPr>
          <w:rFonts w:ascii="Gotham Book" w:hAnsi="Gotham Book"/>
          <w:sz w:val="24"/>
          <w:szCs w:val="24"/>
        </w:rPr>
        <w:t>.</w:t>
      </w:r>
      <w:r w:rsidR="001E4D12">
        <w:rPr>
          <w:rFonts w:ascii="Gotham Book" w:hAnsi="Gotham Book"/>
          <w:sz w:val="24"/>
          <w:szCs w:val="24"/>
        </w:rPr>
        <w:t xml:space="preserve"> Accessed Aug. 21, 2025</w:t>
      </w:r>
      <w:r w:rsidRPr="00FB7F5B">
        <w:rPr>
          <w:rFonts w:ascii="Gotham Book" w:hAnsi="Gotham Book"/>
          <w:sz w:val="24"/>
          <w:szCs w:val="24"/>
        </w:rPr>
        <w:t xml:space="preserve"> https://www.loc.gov/item/00652340/</w:t>
      </w:r>
      <w:bookmarkEnd w:id="11"/>
      <w:r>
        <w:rPr>
          <w:rFonts w:ascii="Gotham Book" w:hAnsi="Gotham Book"/>
          <w:sz w:val="24"/>
          <w:szCs w:val="24"/>
        </w:rPr>
        <w:t xml:space="preserve"> </w:t>
      </w:r>
    </w:p>
    <w:p w14:paraId="55E97D2F" w14:textId="3AF44D42" w:rsidR="00FB7F5B" w:rsidRPr="00FB7F5B" w:rsidRDefault="00FB7F5B" w:rsidP="00FB7F5B">
      <w:pPr>
        <w:pStyle w:val="ListParagraph"/>
        <w:numPr>
          <w:ilvl w:val="0"/>
          <w:numId w:val="2"/>
        </w:numPr>
        <w:rPr>
          <w:rFonts w:ascii="Gotham Book" w:hAnsi="Gotham Book"/>
          <w:sz w:val="24"/>
          <w:szCs w:val="24"/>
        </w:rPr>
      </w:pPr>
      <w:proofErr w:type="spellStart"/>
      <w:r w:rsidRPr="00FB7F5B">
        <w:rPr>
          <w:rFonts w:ascii="Gotham Book" w:hAnsi="Gotham Book"/>
          <w:sz w:val="24"/>
          <w:szCs w:val="24"/>
        </w:rPr>
        <w:t>Mcconnell</w:t>
      </w:r>
      <w:proofErr w:type="spellEnd"/>
      <w:r w:rsidRPr="00FB7F5B">
        <w:rPr>
          <w:rFonts w:ascii="Gotham Book" w:hAnsi="Gotham Book"/>
          <w:sz w:val="24"/>
          <w:szCs w:val="24"/>
        </w:rPr>
        <w:t xml:space="preserve"> Map Co, and James McConnell. </w:t>
      </w:r>
      <w:bookmarkStart w:id="12" w:name="_Hlk206685219"/>
      <w:r w:rsidRPr="00FB7F5B">
        <w:rPr>
          <w:rFonts w:ascii="Gotham Book" w:hAnsi="Gotham Book"/>
          <w:i/>
          <w:iCs/>
          <w:sz w:val="24"/>
          <w:szCs w:val="24"/>
        </w:rPr>
        <w:t>Kansas-Nebraska Act, 1854</w:t>
      </w:r>
      <w:r w:rsidRPr="00FB7F5B">
        <w:rPr>
          <w:rFonts w:ascii="Gotham Book" w:hAnsi="Gotham Book"/>
          <w:sz w:val="24"/>
          <w:szCs w:val="24"/>
        </w:rPr>
        <w:t xml:space="preserve">. </w:t>
      </w:r>
      <w:bookmarkEnd w:id="12"/>
      <w:r w:rsidRPr="00FB7F5B">
        <w:rPr>
          <w:rFonts w:ascii="Gotham Book" w:hAnsi="Gotham Book"/>
          <w:sz w:val="24"/>
          <w:szCs w:val="24"/>
        </w:rPr>
        <w:t>1919. Library of Congress Geography and Map Division.</w:t>
      </w:r>
      <w:r w:rsidR="001E4D12">
        <w:rPr>
          <w:rFonts w:ascii="Gotham Book" w:hAnsi="Gotham Book"/>
          <w:sz w:val="24"/>
          <w:szCs w:val="24"/>
        </w:rPr>
        <w:t xml:space="preserve"> Accessed Aug. 21, 2025</w:t>
      </w:r>
      <w:r w:rsidRPr="00FB7F5B">
        <w:rPr>
          <w:rFonts w:ascii="Gotham Book" w:hAnsi="Gotham Book"/>
          <w:sz w:val="24"/>
          <w:szCs w:val="24"/>
        </w:rPr>
        <w:t xml:space="preserve"> </w:t>
      </w:r>
      <w:r w:rsidRPr="00FB7F5B">
        <w:rPr>
          <w:rFonts w:ascii="Gotham Book" w:hAnsi="Gotham Book"/>
          <w:sz w:val="24"/>
          <w:szCs w:val="24"/>
          <w:u w:val="single"/>
        </w:rPr>
        <w:t>https://www.loc.gov/item/2009581130/</w:t>
      </w:r>
    </w:p>
    <w:p w14:paraId="5CA2A7F8" w14:textId="1967A18B" w:rsidR="00FB7F5B" w:rsidRPr="00FB7F5B" w:rsidRDefault="00FB7F5B" w:rsidP="00FB7F5B">
      <w:pPr>
        <w:pStyle w:val="ListParagraph"/>
        <w:numPr>
          <w:ilvl w:val="0"/>
          <w:numId w:val="2"/>
        </w:numPr>
        <w:rPr>
          <w:rFonts w:ascii="Gotham Book" w:hAnsi="Gotham Book"/>
          <w:sz w:val="24"/>
          <w:szCs w:val="24"/>
        </w:rPr>
      </w:pPr>
      <w:bookmarkStart w:id="13" w:name="_Hlk206685276"/>
      <w:r w:rsidRPr="00FB7F5B">
        <w:rPr>
          <w:rFonts w:ascii="Gotham Book" w:hAnsi="Gotham Book"/>
          <w:sz w:val="24"/>
          <w:szCs w:val="24"/>
        </w:rPr>
        <w:t>Missouri Compromise of 1820 Map</w:t>
      </w:r>
      <w:bookmarkEnd w:id="13"/>
      <w:r w:rsidRPr="00FB7F5B">
        <w:rPr>
          <w:rFonts w:ascii="Gotham Book" w:hAnsi="Gotham Book"/>
          <w:sz w:val="24"/>
          <w:szCs w:val="24"/>
        </w:rPr>
        <w:t>. Justin Arroyos (Compiler) Lila Rakoczy (Compiler) Kelsey Bonnell (Compiler) GIS Educational Maps, Texas General Land Office. Accessed August 13, 2025. https://historictexasmaps.com/object/97357</w:t>
      </w:r>
      <w:r>
        <w:rPr>
          <w:rFonts w:ascii="Gotham Book" w:hAnsi="Gotham Book"/>
          <w:sz w:val="24"/>
          <w:szCs w:val="24"/>
        </w:rPr>
        <w:t xml:space="preserve"> </w:t>
      </w:r>
      <w:r w:rsidRPr="00FB7F5B">
        <w:rPr>
          <w:rFonts w:ascii="Gotham Book" w:hAnsi="Gotham Book"/>
          <w:sz w:val="24"/>
          <w:szCs w:val="24"/>
        </w:rPr>
        <w:t xml:space="preserve"> </w:t>
      </w:r>
    </w:p>
    <w:p w14:paraId="6178CC47" w14:textId="3ECA3053" w:rsidR="00FB7F5B" w:rsidRPr="00FB7F5B" w:rsidRDefault="00FB7F5B" w:rsidP="00FB7F5B">
      <w:pPr>
        <w:pStyle w:val="ListParagraph"/>
        <w:numPr>
          <w:ilvl w:val="0"/>
          <w:numId w:val="2"/>
        </w:numPr>
        <w:rPr>
          <w:rFonts w:ascii="Gotham Book" w:hAnsi="Gotham Book"/>
          <w:sz w:val="24"/>
          <w:szCs w:val="24"/>
        </w:rPr>
      </w:pPr>
      <w:r w:rsidRPr="00FB7F5B">
        <w:rPr>
          <w:rFonts w:ascii="Gotham Book" w:hAnsi="Gotham Book"/>
          <w:sz w:val="24"/>
          <w:szCs w:val="24"/>
        </w:rPr>
        <w:t xml:space="preserve">Arroyos, Justin, Lila Rakoczy, and Kelsey Bonnell. </w:t>
      </w:r>
      <w:bookmarkStart w:id="14" w:name="_Hlk206685300"/>
      <w:r w:rsidRPr="00FB7F5B">
        <w:rPr>
          <w:rFonts w:ascii="Gotham Book" w:hAnsi="Gotham Book"/>
          <w:i/>
          <w:iCs/>
          <w:sz w:val="24"/>
          <w:szCs w:val="24"/>
        </w:rPr>
        <w:t>Compromise of 1850</w:t>
      </w:r>
      <w:bookmarkEnd w:id="14"/>
      <w:r w:rsidRPr="00FB7F5B">
        <w:rPr>
          <w:rFonts w:ascii="Gotham Book" w:hAnsi="Gotham Book"/>
          <w:sz w:val="24"/>
          <w:szCs w:val="24"/>
        </w:rPr>
        <w:t xml:space="preserve">. 2024. Texas Glo Map Database and Store. Accessed August 6, 2025. </w:t>
      </w:r>
      <w:r w:rsidRPr="00FB7F5B">
        <w:rPr>
          <w:rFonts w:ascii="Gotham Book" w:hAnsi="Gotham Book"/>
          <w:sz w:val="24"/>
          <w:szCs w:val="24"/>
          <w:u w:val="single"/>
        </w:rPr>
        <w:t>https://historictexasmaps.com/collection/search-results/97358-compromise-of-1850-gis-educational-maps</w:t>
      </w:r>
    </w:p>
    <w:p w14:paraId="44C09290" w14:textId="0F1557BD" w:rsidR="00FB7F5B" w:rsidRPr="00FB7F5B" w:rsidRDefault="00FB7F5B" w:rsidP="00FB7F5B">
      <w:pPr>
        <w:pStyle w:val="ListParagraph"/>
        <w:numPr>
          <w:ilvl w:val="0"/>
          <w:numId w:val="2"/>
        </w:numPr>
        <w:rPr>
          <w:rFonts w:ascii="Gotham Book" w:hAnsi="Gotham Book"/>
          <w:sz w:val="24"/>
          <w:szCs w:val="24"/>
        </w:rPr>
      </w:pPr>
      <w:proofErr w:type="spellStart"/>
      <w:r w:rsidRPr="00FB7F5B">
        <w:rPr>
          <w:rFonts w:ascii="Gotham Book" w:hAnsi="Gotham Book"/>
          <w:sz w:val="24"/>
          <w:szCs w:val="24"/>
        </w:rPr>
        <w:t>Mcconnell</w:t>
      </w:r>
      <w:proofErr w:type="spellEnd"/>
      <w:r w:rsidRPr="00FB7F5B">
        <w:rPr>
          <w:rFonts w:ascii="Gotham Book" w:hAnsi="Gotham Book"/>
          <w:sz w:val="24"/>
          <w:szCs w:val="24"/>
        </w:rPr>
        <w:t xml:space="preserve"> Map Co, and James McConnell. </w:t>
      </w:r>
      <w:r w:rsidRPr="00FB7F5B">
        <w:rPr>
          <w:rFonts w:ascii="Gotham Book" w:hAnsi="Gotham Book"/>
          <w:i/>
          <w:iCs/>
          <w:sz w:val="24"/>
          <w:szCs w:val="24"/>
        </w:rPr>
        <w:t>Kansas-Nebraska Act, 1854</w:t>
      </w:r>
      <w:r w:rsidRPr="00FB7F5B">
        <w:rPr>
          <w:rFonts w:ascii="Gotham Book" w:hAnsi="Gotham Book"/>
          <w:sz w:val="24"/>
          <w:szCs w:val="24"/>
        </w:rPr>
        <w:t xml:space="preserve">. 1919. Library of Congress Geography and Map Division. </w:t>
      </w:r>
      <w:r w:rsidR="001E4D12">
        <w:rPr>
          <w:rFonts w:ascii="Gotham Book" w:hAnsi="Gotham Book"/>
          <w:sz w:val="24"/>
          <w:szCs w:val="24"/>
        </w:rPr>
        <w:t xml:space="preserve">Accessed Aug. 21, 2025 </w:t>
      </w:r>
      <w:r w:rsidRPr="00FB7F5B">
        <w:rPr>
          <w:rFonts w:ascii="Gotham Book" w:hAnsi="Gotham Book"/>
          <w:sz w:val="24"/>
          <w:szCs w:val="24"/>
          <w:u w:val="single"/>
        </w:rPr>
        <w:t>https://www.loc.gov/item/2009581130/</w:t>
      </w:r>
    </w:p>
    <w:p w14:paraId="337337A8" w14:textId="615A0FEB" w:rsidR="00FB7F5B" w:rsidRPr="00FB7F5B" w:rsidRDefault="00FB7F5B" w:rsidP="00FB7F5B">
      <w:pPr>
        <w:pStyle w:val="ListParagraph"/>
        <w:numPr>
          <w:ilvl w:val="0"/>
          <w:numId w:val="2"/>
        </w:numPr>
        <w:rPr>
          <w:rFonts w:ascii="Gotham Book" w:hAnsi="Gotham Book"/>
          <w:sz w:val="24"/>
          <w:szCs w:val="24"/>
        </w:rPr>
      </w:pPr>
      <w:bookmarkStart w:id="15" w:name="_Hlk206685403"/>
      <w:r w:rsidRPr="00FB7F5B">
        <w:rPr>
          <w:rFonts w:ascii="Gotham Book" w:hAnsi="Gotham Book"/>
          <w:sz w:val="24"/>
          <w:szCs w:val="24"/>
        </w:rPr>
        <w:t>The Tragic Prelude John Brown by John Steuart Curry</w:t>
      </w:r>
      <w:bookmarkEnd w:id="15"/>
      <w:r w:rsidRPr="00FB7F5B">
        <w:rPr>
          <w:rFonts w:ascii="Gotham Book" w:hAnsi="Gotham Book"/>
          <w:sz w:val="24"/>
          <w:szCs w:val="24"/>
        </w:rPr>
        <w:t>. 1938. This work is in the </w:t>
      </w:r>
      <w:r w:rsidRPr="00FB7F5B">
        <w:rPr>
          <w:rFonts w:ascii="Gotham Book" w:hAnsi="Gotham Book"/>
          <w:b/>
          <w:bCs/>
          <w:sz w:val="24"/>
          <w:szCs w:val="24"/>
        </w:rPr>
        <w:t>public domain</w:t>
      </w:r>
      <w:r w:rsidRPr="00FB7F5B">
        <w:rPr>
          <w:rFonts w:ascii="Gotham Book" w:hAnsi="Gotham Book"/>
          <w:sz w:val="24"/>
          <w:szCs w:val="24"/>
        </w:rPr>
        <w:t> in the United States because it was published in the United States between 1930 and 1977, inclusive, </w:t>
      </w:r>
      <w:r w:rsidRPr="00FB7F5B">
        <w:rPr>
          <w:rFonts w:ascii="Gotham Book" w:hAnsi="Gotham Book"/>
          <w:b/>
          <w:bCs/>
          <w:sz w:val="24"/>
          <w:szCs w:val="24"/>
        </w:rPr>
        <w:t>without a copyright notice</w:t>
      </w:r>
      <w:r w:rsidRPr="00FB7F5B">
        <w:rPr>
          <w:rFonts w:ascii="Gotham Book" w:hAnsi="Gotham Book"/>
          <w:sz w:val="24"/>
          <w:szCs w:val="24"/>
        </w:rPr>
        <w:t>. For further explanation, see </w:t>
      </w:r>
      <w:proofErr w:type="spellStart"/>
      <w:r w:rsidRPr="00FB7F5B">
        <w:rPr>
          <w:rFonts w:ascii="Gotham Book" w:hAnsi="Gotham Book"/>
          <w:sz w:val="24"/>
          <w:szCs w:val="24"/>
        </w:rPr>
        <w:t>Commons:Hirtle</w:t>
      </w:r>
      <w:proofErr w:type="spellEnd"/>
      <w:r w:rsidRPr="00FB7F5B">
        <w:rPr>
          <w:rFonts w:ascii="Gotham Book" w:hAnsi="Gotham Book"/>
          <w:sz w:val="24"/>
          <w:szCs w:val="24"/>
        </w:rPr>
        <w:t xml:space="preserve"> chart as well as a detailed definition of "publication" for public </w:t>
      </w:r>
      <w:proofErr w:type="spellStart"/>
      <w:r w:rsidRPr="00FB7F5B">
        <w:rPr>
          <w:rFonts w:ascii="Gotham Book" w:hAnsi="Gotham Book"/>
          <w:sz w:val="24"/>
          <w:szCs w:val="24"/>
        </w:rPr>
        <w:t>art.Note</w:t>
      </w:r>
      <w:proofErr w:type="spellEnd"/>
      <w:r w:rsidRPr="00FB7F5B">
        <w:rPr>
          <w:rFonts w:ascii="Gotham Book" w:hAnsi="Gotham Book"/>
          <w:sz w:val="24"/>
          <w:szCs w:val="24"/>
        </w:rPr>
        <w:t xml:space="preserve"> that it may still be copyrighted in jurisdictions that do not apply the rule of the shorter term for US works (depending on the date of the author's death), such as Canada (50 </w:t>
      </w:r>
      <w:proofErr w:type="spellStart"/>
      <w:r w:rsidRPr="00FB7F5B">
        <w:rPr>
          <w:rFonts w:ascii="Gotham Book" w:hAnsi="Gotham Book"/>
          <w:sz w:val="24"/>
          <w:szCs w:val="24"/>
        </w:rPr>
        <w:t>p.m.a.</w:t>
      </w:r>
      <w:proofErr w:type="spellEnd"/>
      <w:r w:rsidRPr="00FB7F5B">
        <w:rPr>
          <w:rFonts w:ascii="Gotham Book" w:hAnsi="Gotham Book"/>
          <w:sz w:val="24"/>
          <w:szCs w:val="24"/>
        </w:rPr>
        <w:t xml:space="preserve">), Mainland China (50 </w:t>
      </w:r>
      <w:proofErr w:type="spellStart"/>
      <w:r w:rsidRPr="00FB7F5B">
        <w:rPr>
          <w:rFonts w:ascii="Gotham Book" w:hAnsi="Gotham Book"/>
          <w:sz w:val="24"/>
          <w:szCs w:val="24"/>
        </w:rPr>
        <w:t>p.m.a.</w:t>
      </w:r>
      <w:proofErr w:type="spellEnd"/>
      <w:r w:rsidRPr="00FB7F5B">
        <w:rPr>
          <w:rFonts w:ascii="Gotham Book" w:hAnsi="Gotham Book"/>
          <w:sz w:val="24"/>
          <w:szCs w:val="24"/>
        </w:rPr>
        <w:t xml:space="preserve">, not Hong Kong or Macao), Germany (70 </w:t>
      </w:r>
      <w:proofErr w:type="spellStart"/>
      <w:r w:rsidRPr="00FB7F5B">
        <w:rPr>
          <w:rFonts w:ascii="Gotham Book" w:hAnsi="Gotham Book"/>
          <w:sz w:val="24"/>
          <w:szCs w:val="24"/>
        </w:rPr>
        <w:t>p.m.a.</w:t>
      </w:r>
      <w:proofErr w:type="spellEnd"/>
      <w:r w:rsidRPr="00FB7F5B">
        <w:rPr>
          <w:rFonts w:ascii="Gotham Book" w:hAnsi="Gotham Book"/>
          <w:sz w:val="24"/>
          <w:szCs w:val="24"/>
        </w:rPr>
        <w:t xml:space="preserve">), Mexico (100 </w:t>
      </w:r>
      <w:proofErr w:type="spellStart"/>
      <w:r w:rsidRPr="00FB7F5B">
        <w:rPr>
          <w:rFonts w:ascii="Gotham Book" w:hAnsi="Gotham Book"/>
          <w:sz w:val="24"/>
          <w:szCs w:val="24"/>
        </w:rPr>
        <w:t>p.m.a.</w:t>
      </w:r>
      <w:proofErr w:type="spellEnd"/>
      <w:r w:rsidRPr="00FB7F5B">
        <w:rPr>
          <w:rFonts w:ascii="Gotham Book" w:hAnsi="Gotham Book"/>
          <w:sz w:val="24"/>
          <w:szCs w:val="24"/>
        </w:rPr>
        <w:t xml:space="preserve">), Switzerland (70 </w:t>
      </w:r>
      <w:proofErr w:type="spellStart"/>
      <w:r w:rsidRPr="00FB7F5B">
        <w:rPr>
          <w:rFonts w:ascii="Gotham Book" w:hAnsi="Gotham Book"/>
          <w:sz w:val="24"/>
          <w:szCs w:val="24"/>
        </w:rPr>
        <w:t>p.m.a.</w:t>
      </w:r>
      <w:proofErr w:type="spellEnd"/>
      <w:r w:rsidRPr="00FB7F5B">
        <w:rPr>
          <w:rFonts w:ascii="Gotham Book" w:hAnsi="Gotham Book"/>
          <w:sz w:val="24"/>
          <w:szCs w:val="24"/>
        </w:rPr>
        <w:t xml:space="preserve">), and other countries with individual treaties. Accessed August 13, 2025. https://commons.wikimedia.org/wiki/File:The_Tragic_Prelude_John_Brown.jpg  </w:t>
      </w:r>
    </w:p>
    <w:p w14:paraId="5F4AE392" w14:textId="3ED9C772" w:rsidR="00FB7F5B" w:rsidRPr="00FB7F5B" w:rsidRDefault="00FB7F5B" w:rsidP="00FB7F5B">
      <w:pPr>
        <w:pStyle w:val="ListParagraph"/>
        <w:numPr>
          <w:ilvl w:val="0"/>
          <w:numId w:val="2"/>
        </w:numPr>
        <w:rPr>
          <w:rFonts w:ascii="Gotham Book" w:hAnsi="Gotham Book"/>
          <w:sz w:val="24"/>
          <w:szCs w:val="24"/>
        </w:rPr>
      </w:pPr>
      <w:r w:rsidRPr="00FB7F5B">
        <w:rPr>
          <w:rFonts w:ascii="Gotham Book" w:hAnsi="Gotham Book"/>
          <w:sz w:val="24"/>
          <w:szCs w:val="24"/>
        </w:rPr>
        <w:t>Century Company, Publisher. </w:t>
      </w:r>
      <w:r w:rsidRPr="00FB7F5B">
        <w:rPr>
          <w:rFonts w:ascii="Gotham Book" w:hAnsi="Gotham Book"/>
          <w:i/>
          <w:iCs/>
          <w:sz w:val="24"/>
          <w:szCs w:val="24"/>
        </w:rPr>
        <w:t>Dred Scott. Harriet, wife of Dred Scott</w:t>
      </w:r>
      <w:r w:rsidRPr="00FB7F5B">
        <w:rPr>
          <w:rFonts w:ascii="Gotham Book" w:hAnsi="Gotham Book"/>
          <w:sz w:val="24"/>
          <w:szCs w:val="24"/>
        </w:rPr>
        <w:t xml:space="preserve">. , 1887. [New York: Century Co., June] Photograph. </w:t>
      </w:r>
      <w:r w:rsidR="001E4D12">
        <w:rPr>
          <w:rFonts w:ascii="Gotham Book" w:hAnsi="Gotham Book"/>
          <w:sz w:val="24"/>
          <w:szCs w:val="24"/>
        </w:rPr>
        <w:t xml:space="preserve">Accessed Aug. 21, 2025 </w:t>
      </w:r>
      <w:r w:rsidRPr="00FB7F5B">
        <w:rPr>
          <w:rFonts w:ascii="Gotham Book" w:hAnsi="Gotham Book"/>
          <w:sz w:val="24"/>
          <w:szCs w:val="24"/>
        </w:rPr>
        <w:t>https://www.loc.gov/item/2014645331/</w:t>
      </w:r>
      <w:r>
        <w:rPr>
          <w:rFonts w:ascii="Gotham Book" w:hAnsi="Gotham Book"/>
          <w:sz w:val="24"/>
          <w:szCs w:val="24"/>
        </w:rPr>
        <w:t xml:space="preserve"> </w:t>
      </w:r>
    </w:p>
    <w:p w14:paraId="710BAE64" w14:textId="06EE10B5" w:rsidR="00FB7F5B" w:rsidRPr="00FB7F5B" w:rsidRDefault="00FB7F5B" w:rsidP="00FB7F5B">
      <w:pPr>
        <w:pStyle w:val="ListParagraph"/>
        <w:numPr>
          <w:ilvl w:val="0"/>
          <w:numId w:val="2"/>
        </w:numPr>
        <w:rPr>
          <w:rFonts w:ascii="Gotham Book" w:hAnsi="Gotham Book"/>
          <w:sz w:val="24"/>
          <w:szCs w:val="24"/>
        </w:rPr>
      </w:pPr>
      <w:r w:rsidRPr="00FB7F5B">
        <w:rPr>
          <w:rFonts w:ascii="Gotham Book" w:hAnsi="Gotham Book"/>
          <w:sz w:val="24"/>
          <w:szCs w:val="24"/>
        </w:rPr>
        <w:t xml:space="preserve">Harper's Ferry insurrection - Interior of the Engine-House, just before the gate is broken down by the storming party - Col. Washington and his associates as captives, held by Brown as hostages. Harpers Ferry West Virginia, 1859. Photograph. </w:t>
      </w:r>
      <w:r w:rsidR="001E4D12">
        <w:rPr>
          <w:rFonts w:ascii="Gotham Book" w:hAnsi="Gotham Book"/>
          <w:sz w:val="24"/>
          <w:szCs w:val="24"/>
        </w:rPr>
        <w:t xml:space="preserve">Accessed Aug. 21, 2025 </w:t>
      </w:r>
      <w:r w:rsidRPr="00FB7F5B">
        <w:rPr>
          <w:rFonts w:ascii="Gotham Book" w:hAnsi="Gotham Book"/>
          <w:sz w:val="24"/>
          <w:szCs w:val="24"/>
        </w:rPr>
        <w:t>https://www.loc.gov/item/2002735881/</w:t>
      </w:r>
      <w:r>
        <w:rPr>
          <w:rFonts w:ascii="Gotham Book" w:hAnsi="Gotham Book"/>
          <w:sz w:val="24"/>
          <w:szCs w:val="24"/>
        </w:rPr>
        <w:t xml:space="preserve"> </w:t>
      </w:r>
    </w:p>
    <w:p w14:paraId="1533419D" w14:textId="29C06B86" w:rsidR="00FB7F5B" w:rsidRPr="00FB7F5B" w:rsidRDefault="00FB7F5B" w:rsidP="00FB7F5B">
      <w:pPr>
        <w:pStyle w:val="ListParagraph"/>
        <w:numPr>
          <w:ilvl w:val="0"/>
          <w:numId w:val="2"/>
        </w:numPr>
        <w:rPr>
          <w:rFonts w:ascii="Gotham Book" w:hAnsi="Gotham Book"/>
          <w:sz w:val="24"/>
          <w:szCs w:val="24"/>
        </w:rPr>
      </w:pPr>
      <w:r w:rsidRPr="00FB7F5B">
        <w:rPr>
          <w:rFonts w:ascii="Gotham Book" w:hAnsi="Gotham Book"/>
          <w:sz w:val="24"/>
          <w:szCs w:val="24"/>
        </w:rPr>
        <w:t>Lovett, J. D. </w:t>
      </w:r>
      <w:bookmarkStart w:id="16" w:name="_Hlk206685517"/>
      <w:r w:rsidRPr="00FB7F5B">
        <w:rPr>
          <w:rFonts w:ascii="Gotham Book" w:hAnsi="Gotham Book"/>
          <w:i/>
          <w:iCs/>
          <w:sz w:val="24"/>
          <w:szCs w:val="24"/>
        </w:rPr>
        <w:t>Free Territory for a Free People</w:t>
      </w:r>
      <w:bookmarkEnd w:id="16"/>
      <w:r w:rsidRPr="00FB7F5B">
        <w:rPr>
          <w:rFonts w:ascii="Gotham Book" w:hAnsi="Gotham Book"/>
          <w:sz w:val="24"/>
          <w:szCs w:val="24"/>
        </w:rPr>
        <w:t xml:space="preserve">. United States, 1860. Photograph. </w:t>
      </w:r>
      <w:r w:rsidR="001E4D12">
        <w:rPr>
          <w:rFonts w:ascii="Gotham Book" w:hAnsi="Gotham Book"/>
          <w:sz w:val="24"/>
          <w:szCs w:val="24"/>
        </w:rPr>
        <w:t xml:space="preserve">Accessed Aug. 21, 2025. </w:t>
      </w:r>
      <w:r w:rsidR="001E4D12" w:rsidRPr="00FB7F5B">
        <w:rPr>
          <w:rFonts w:ascii="Gotham Book" w:hAnsi="Gotham Book"/>
          <w:sz w:val="24"/>
          <w:szCs w:val="24"/>
        </w:rPr>
        <w:t>https://www.loc.gov/item/2008661602/</w:t>
      </w:r>
      <w:r>
        <w:rPr>
          <w:rFonts w:ascii="Gotham Book" w:hAnsi="Gotham Book"/>
          <w:sz w:val="24"/>
          <w:szCs w:val="24"/>
        </w:rPr>
        <w:t xml:space="preserve"> </w:t>
      </w:r>
    </w:p>
    <w:p w14:paraId="14B6FEA0" w14:textId="77777777" w:rsidR="00FB7F5B" w:rsidRPr="006E7B15" w:rsidRDefault="00FB7F5B" w:rsidP="00FB7F5B">
      <w:pPr>
        <w:pStyle w:val="ListParagraph"/>
        <w:rPr>
          <w:rFonts w:ascii="Gotham Book" w:hAnsi="Gotham Book"/>
          <w:sz w:val="24"/>
          <w:szCs w:val="24"/>
        </w:rPr>
      </w:pPr>
    </w:p>
    <w:p w14:paraId="4F132EE9" w14:textId="77777777" w:rsidR="009D473A" w:rsidRDefault="009D473A" w:rsidP="009D473A"/>
    <w:bookmarkEnd w:id="0"/>
    <w:p w14:paraId="2DFB831A" w14:textId="77777777" w:rsidR="009D473A" w:rsidRPr="00BF4184" w:rsidRDefault="009D473A" w:rsidP="009D473A"/>
    <w:p w14:paraId="59983CEE"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01AC" w14:textId="77777777" w:rsidR="009D473A" w:rsidRDefault="009D473A" w:rsidP="009D473A">
      <w:pPr>
        <w:spacing w:after="0" w:line="240" w:lineRule="auto"/>
      </w:pPr>
      <w:r>
        <w:separator/>
      </w:r>
    </w:p>
  </w:endnote>
  <w:endnote w:type="continuationSeparator" w:id="0">
    <w:p w14:paraId="7562CCF7" w14:textId="77777777" w:rsidR="009D473A" w:rsidRDefault="009D473A" w:rsidP="009D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001380"/>
      <w:docPartObj>
        <w:docPartGallery w:val="Page Numbers (Bottom of Page)"/>
        <w:docPartUnique/>
      </w:docPartObj>
    </w:sdtPr>
    <w:sdtEndPr>
      <w:rPr>
        <w:noProof/>
      </w:rPr>
    </w:sdtEndPr>
    <w:sdtContent>
      <w:p w14:paraId="7D0C18F2" w14:textId="0C23BE3A" w:rsidR="009D473A" w:rsidRDefault="009D473A">
        <w:pPr>
          <w:pStyle w:val="Footer"/>
          <w:jc w:val="center"/>
        </w:pPr>
        <w:r>
          <w:rPr>
            <w:noProof/>
            <w:sz w:val="18"/>
            <w:szCs w:val="18"/>
          </w:rPr>
          <w:drawing>
            <wp:anchor distT="0" distB="0" distL="114300" distR="114300" simplePos="0" relativeHeight="251661312" behindDoc="1" locked="0" layoutInCell="1" allowOverlap="1" wp14:anchorId="36620365" wp14:editId="764453E0">
              <wp:simplePos x="0" y="0"/>
              <wp:positionH relativeFrom="margin">
                <wp:posOffset>5528684</wp:posOffset>
              </wp:positionH>
              <wp:positionV relativeFrom="paragraph">
                <wp:posOffset>-152073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E516AB3" w14:textId="32449563" w:rsidR="009D473A" w:rsidRDefault="009D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4450" w14:textId="77777777" w:rsidR="009D473A" w:rsidRDefault="009D473A" w:rsidP="009D473A">
      <w:pPr>
        <w:spacing w:after="0" w:line="240" w:lineRule="auto"/>
      </w:pPr>
      <w:r>
        <w:separator/>
      </w:r>
    </w:p>
  </w:footnote>
  <w:footnote w:type="continuationSeparator" w:id="0">
    <w:p w14:paraId="3B39F2DC" w14:textId="77777777" w:rsidR="009D473A" w:rsidRDefault="009D473A" w:rsidP="009D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7F49" w14:textId="309FE36F" w:rsidR="009D473A" w:rsidRDefault="009D473A">
    <w:pPr>
      <w:pStyle w:val="Header"/>
    </w:pPr>
    <w:r w:rsidRPr="008D7B34">
      <w:rPr>
        <w:rFonts w:ascii="Gotham Book" w:hAnsi="Gotham Book"/>
        <w:noProof/>
      </w:rPr>
      <w:drawing>
        <wp:anchor distT="0" distB="0" distL="114300" distR="114300" simplePos="0" relativeHeight="251659264" behindDoc="1" locked="0" layoutInCell="1" allowOverlap="1" wp14:anchorId="1EF67186" wp14:editId="70F84B51">
          <wp:simplePos x="0" y="0"/>
          <wp:positionH relativeFrom="margin">
            <wp:align>left</wp:align>
          </wp:positionH>
          <wp:positionV relativeFrom="paragraph">
            <wp:posOffset>-301522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2D979" w14:textId="77777777" w:rsidR="009D473A" w:rsidRDefault="009D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A03"/>
    <w:multiLevelType w:val="hybridMultilevel"/>
    <w:tmpl w:val="ECBE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438A2"/>
    <w:multiLevelType w:val="hybridMultilevel"/>
    <w:tmpl w:val="9BAC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6637C2"/>
    <w:multiLevelType w:val="hybridMultilevel"/>
    <w:tmpl w:val="8960C1EA"/>
    <w:lvl w:ilvl="0" w:tplc="E3CA6074">
      <w:start w:val="1"/>
      <w:numFmt w:val="decimal"/>
      <w:lvlText w:val="%1."/>
      <w:lvlJc w:val="left"/>
      <w:pPr>
        <w:tabs>
          <w:tab w:val="num" w:pos="720"/>
        </w:tabs>
        <w:ind w:left="720" w:hanging="360"/>
      </w:pPr>
    </w:lvl>
    <w:lvl w:ilvl="1" w:tplc="C0EEFFE2" w:tentative="1">
      <w:start w:val="1"/>
      <w:numFmt w:val="decimal"/>
      <w:lvlText w:val="%2."/>
      <w:lvlJc w:val="left"/>
      <w:pPr>
        <w:tabs>
          <w:tab w:val="num" w:pos="1440"/>
        </w:tabs>
        <w:ind w:left="1440" w:hanging="360"/>
      </w:pPr>
    </w:lvl>
    <w:lvl w:ilvl="2" w:tplc="1B8E7B98" w:tentative="1">
      <w:start w:val="1"/>
      <w:numFmt w:val="decimal"/>
      <w:lvlText w:val="%3."/>
      <w:lvlJc w:val="left"/>
      <w:pPr>
        <w:tabs>
          <w:tab w:val="num" w:pos="2160"/>
        </w:tabs>
        <w:ind w:left="2160" w:hanging="360"/>
      </w:pPr>
    </w:lvl>
    <w:lvl w:ilvl="3" w:tplc="1792C48C" w:tentative="1">
      <w:start w:val="1"/>
      <w:numFmt w:val="decimal"/>
      <w:lvlText w:val="%4."/>
      <w:lvlJc w:val="left"/>
      <w:pPr>
        <w:tabs>
          <w:tab w:val="num" w:pos="2880"/>
        </w:tabs>
        <w:ind w:left="2880" w:hanging="360"/>
      </w:pPr>
    </w:lvl>
    <w:lvl w:ilvl="4" w:tplc="E5186DA8" w:tentative="1">
      <w:start w:val="1"/>
      <w:numFmt w:val="decimal"/>
      <w:lvlText w:val="%5."/>
      <w:lvlJc w:val="left"/>
      <w:pPr>
        <w:tabs>
          <w:tab w:val="num" w:pos="3600"/>
        </w:tabs>
        <w:ind w:left="3600" w:hanging="360"/>
      </w:pPr>
    </w:lvl>
    <w:lvl w:ilvl="5" w:tplc="598E1EE6" w:tentative="1">
      <w:start w:val="1"/>
      <w:numFmt w:val="decimal"/>
      <w:lvlText w:val="%6."/>
      <w:lvlJc w:val="left"/>
      <w:pPr>
        <w:tabs>
          <w:tab w:val="num" w:pos="4320"/>
        </w:tabs>
        <w:ind w:left="4320" w:hanging="360"/>
      </w:pPr>
    </w:lvl>
    <w:lvl w:ilvl="6" w:tplc="A2B81AFA" w:tentative="1">
      <w:start w:val="1"/>
      <w:numFmt w:val="decimal"/>
      <w:lvlText w:val="%7."/>
      <w:lvlJc w:val="left"/>
      <w:pPr>
        <w:tabs>
          <w:tab w:val="num" w:pos="5040"/>
        </w:tabs>
        <w:ind w:left="5040" w:hanging="360"/>
      </w:pPr>
    </w:lvl>
    <w:lvl w:ilvl="7" w:tplc="542439EC" w:tentative="1">
      <w:start w:val="1"/>
      <w:numFmt w:val="decimal"/>
      <w:lvlText w:val="%8."/>
      <w:lvlJc w:val="left"/>
      <w:pPr>
        <w:tabs>
          <w:tab w:val="num" w:pos="5760"/>
        </w:tabs>
        <w:ind w:left="5760" w:hanging="360"/>
      </w:pPr>
    </w:lvl>
    <w:lvl w:ilvl="8" w:tplc="84C28DBA" w:tentative="1">
      <w:start w:val="1"/>
      <w:numFmt w:val="decimal"/>
      <w:lvlText w:val="%9."/>
      <w:lvlJc w:val="left"/>
      <w:pPr>
        <w:tabs>
          <w:tab w:val="num" w:pos="6480"/>
        </w:tabs>
        <w:ind w:left="6480" w:hanging="36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A73504"/>
    <w:multiLevelType w:val="hybridMultilevel"/>
    <w:tmpl w:val="47B4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C47B4"/>
    <w:multiLevelType w:val="hybridMultilevel"/>
    <w:tmpl w:val="33D4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F181D"/>
    <w:multiLevelType w:val="hybridMultilevel"/>
    <w:tmpl w:val="96D8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A4391"/>
    <w:multiLevelType w:val="hybridMultilevel"/>
    <w:tmpl w:val="A04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A0C53"/>
    <w:multiLevelType w:val="hybridMultilevel"/>
    <w:tmpl w:val="669E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5"/>
  </w:num>
  <w:num w:numId="4" w16cid:durableId="1678657642">
    <w:abstractNumId w:val="9"/>
  </w:num>
  <w:num w:numId="5" w16cid:durableId="1562979219">
    <w:abstractNumId w:val="3"/>
  </w:num>
  <w:num w:numId="6" w16cid:durableId="1233275310">
    <w:abstractNumId w:val="7"/>
  </w:num>
  <w:num w:numId="7" w16cid:durableId="1935937173">
    <w:abstractNumId w:val="0"/>
  </w:num>
  <w:num w:numId="8" w16cid:durableId="1760711017">
    <w:abstractNumId w:val="10"/>
  </w:num>
  <w:num w:numId="9" w16cid:durableId="1139306673">
    <w:abstractNumId w:val="1"/>
  </w:num>
  <w:num w:numId="10" w16cid:durableId="831868998">
    <w:abstractNumId w:val="8"/>
  </w:num>
  <w:num w:numId="11" w16cid:durableId="1291278754">
    <w:abstractNumId w:val="11"/>
  </w:num>
  <w:num w:numId="12" w16cid:durableId="2145541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3A"/>
    <w:rsid w:val="001B4B2F"/>
    <w:rsid w:val="001E4D12"/>
    <w:rsid w:val="002F7EB0"/>
    <w:rsid w:val="00443015"/>
    <w:rsid w:val="00586B9F"/>
    <w:rsid w:val="00652F3A"/>
    <w:rsid w:val="0065438C"/>
    <w:rsid w:val="00963012"/>
    <w:rsid w:val="009B7378"/>
    <w:rsid w:val="009D473A"/>
    <w:rsid w:val="009F7AC1"/>
    <w:rsid w:val="00BD507D"/>
    <w:rsid w:val="00CC13E5"/>
    <w:rsid w:val="00D02D9F"/>
    <w:rsid w:val="00D12A14"/>
    <w:rsid w:val="00F0566A"/>
    <w:rsid w:val="00FB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9003"/>
  <w15:chartTrackingRefBased/>
  <w15:docId w15:val="{F4989EB7-6549-4785-812D-9652645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3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652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2F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2F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F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F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F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2F3A"/>
    <w:pPr>
      <w:spacing w:before="160"/>
      <w:jc w:val="center"/>
    </w:pPr>
    <w:rPr>
      <w:i/>
      <w:iCs/>
      <w:color w:val="404040" w:themeColor="text1" w:themeTint="BF"/>
    </w:rPr>
  </w:style>
  <w:style w:type="character" w:customStyle="1" w:styleId="QuoteChar">
    <w:name w:val="Quote Char"/>
    <w:basedOn w:val="DefaultParagraphFont"/>
    <w:link w:val="Quote"/>
    <w:uiPriority w:val="29"/>
    <w:rsid w:val="00652F3A"/>
    <w:rPr>
      <w:i/>
      <w:iCs/>
      <w:color w:val="404040" w:themeColor="text1" w:themeTint="BF"/>
    </w:rPr>
  </w:style>
  <w:style w:type="paragraph" w:styleId="ListParagraph">
    <w:name w:val="List Paragraph"/>
    <w:basedOn w:val="Normal"/>
    <w:uiPriority w:val="34"/>
    <w:qFormat/>
    <w:rsid w:val="00652F3A"/>
    <w:pPr>
      <w:ind w:left="720"/>
      <w:contextualSpacing/>
    </w:pPr>
  </w:style>
  <w:style w:type="character" w:styleId="IntenseEmphasis">
    <w:name w:val="Intense Emphasis"/>
    <w:basedOn w:val="DefaultParagraphFont"/>
    <w:uiPriority w:val="21"/>
    <w:qFormat/>
    <w:rsid w:val="00652F3A"/>
    <w:rPr>
      <w:i/>
      <w:iCs/>
      <w:color w:val="0F4761" w:themeColor="accent1" w:themeShade="BF"/>
    </w:rPr>
  </w:style>
  <w:style w:type="paragraph" w:styleId="IntenseQuote">
    <w:name w:val="Intense Quote"/>
    <w:basedOn w:val="Normal"/>
    <w:next w:val="Normal"/>
    <w:link w:val="IntenseQuoteChar"/>
    <w:uiPriority w:val="30"/>
    <w:qFormat/>
    <w:rsid w:val="00652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3A"/>
    <w:rPr>
      <w:i/>
      <w:iCs/>
      <w:color w:val="0F4761" w:themeColor="accent1" w:themeShade="BF"/>
    </w:rPr>
  </w:style>
  <w:style w:type="character" w:styleId="IntenseReference">
    <w:name w:val="Intense Reference"/>
    <w:basedOn w:val="DefaultParagraphFont"/>
    <w:uiPriority w:val="32"/>
    <w:qFormat/>
    <w:rsid w:val="00652F3A"/>
    <w:rPr>
      <w:b/>
      <w:bCs/>
      <w:smallCaps/>
      <w:color w:val="0F4761" w:themeColor="accent1" w:themeShade="BF"/>
      <w:spacing w:val="5"/>
    </w:rPr>
  </w:style>
  <w:style w:type="table" w:styleId="TableGrid">
    <w:name w:val="Table Grid"/>
    <w:basedOn w:val="TableNormal"/>
    <w:uiPriority w:val="39"/>
    <w:rsid w:val="009D473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D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A"/>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FB7F5B"/>
    <w:rPr>
      <w:color w:val="467886" w:themeColor="hyperlink"/>
      <w:u w:val="single"/>
    </w:rPr>
  </w:style>
  <w:style w:type="character" w:styleId="UnresolvedMention">
    <w:name w:val="Unresolved Mention"/>
    <w:basedOn w:val="DefaultParagraphFont"/>
    <w:uiPriority w:val="99"/>
    <w:semiHidden/>
    <w:unhideWhenUsed/>
    <w:rsid w:val="00FB7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7</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2025-08-21T20:27:00Z</dcterms:created>
  <dcterms:modified xsi:type="dcterms:W3CDTF">2025-08-29T14:46:00Z</dcterms:modified>
</cp:coreProperties>
</file>