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D149" w14:textId="2ACC5106" w:rsidR="000A0919" w:rsidRPr="00BC051C" w:rsidRDefault="000A0919" w:rsidP="000A0919">
      <w:pPr>
        <w:spacing w:after="0"/>
        <w:rPr>
          <w:rFonts w:ascii="Gotham Book" w:hAnsi="Gotham Book"/>
          <w:sz w:val="56"/>
          <w:szCs w:val="240"/>
          <w:lang w:val="es-MX"/>
        </w:rPr>
      </w:pPr>
      <w:r w:rsidRPr="00C7059C">
        <w:rPr>
          <w:rFonts w:ascii="Gotham Book" w:hAnsi="Gotham Book"/>
          <w:noProof/>
        </w:rPr>
        <w:drawing>
          <wp:inline distT="0" distB="0" distL="0" distR="0" wp14:anchorId="3A96769A" wp14:editId="3950D620">
            <wp:extent cx="590550" cy="542809"/>
            <wp:effectExtent l="0" t="0" r="0" b="0"/>
            <wp:docPr id="1751407736"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610711" cy="561340"/>
                    </a:xfrm>
                    <a:prstGeom prst="rect">
                      <a:avLst/>
                    </a:prstGeom>
                    <a:noFill/>
                    <a:ln>
                      <a:noFill/>
                    </a:ln>
                    <a:extLst>
                      <a:ext uri="{53640926-AAD7-44D8-BBD7-CCE9431645EC}">
                        <a14:shadowObscured xmlns:a14="http://schemas.microsoft.com/office/drawing/2010/main"/>
                      </a:ext>
                    </a:extLst>
                  </pic:spPr>
                </pic:pic>
              </a:graphicData>
            </a:graphic>
          </wp:inline>
        </w:drawing>
      </w:r>
      <w:r w:rsidRPr="00BC051C">
        <w:rPr>
          <w:rFonts w:ascii="Gotham Book" w:hAnsi="Gotham Book"/>
          <w:lang w:val="es-MX"/>
        </w:rPr>
        <w:t xml:space="preserve">   </w:t>
      </w:r>
      <w:r w:rsidRPr="00BC051C">
        <w:rPr>
          <w:rFonts w:ascii="Gotham Book" w:hAnsi="Gotham Book"/>
          <w:b/>
          <w:bCs/>
          <w:i/>
          <w:iCs/>
          <w:sz w:val="52"/>
          <w:szCs w:val="200"/>
          <w:lang w:val="es-MX"/>
        </w:rPr>
        <w:t xml:space="preserve">Calentamiento: </w:t>
      </w:r>
      <w:r w:rsidRPr="00BC051C">
        <w:rPr>
          <w:rFonts w:ascii="Gotham Book" w:hAnsi="Gotham Book"/>
          <w:sz w:val="46"/>
          <w:szCs w:val="144"/>
          <w:lang w:val="es-MX"/>
        </w:rPr>
        <w:t>¿Cómo sabemos lo que sabemos?</w:t>
      </w:r>
    </w:p>
    <w:p w14:paraId="4EDCB363" w14:textId="44A78C35" w:rsidR="000A0919" w:rsidRPr="00C7059C" w:rsidRDefault="000A0919" w:rsidP="000A0919">
      <w:pPr>
        <w:spacing w:after="0" w:line="360" w:lineRule="auto"/>
        <w:jc w:val="center"/>
        <w:rPr>
          <w:rFonts w:ascii="Gotham Book" w:hAnsi="Gotham Book"/>
          <w:i/>
          <w:iCs/>
          <w:color w:val="595959" w:themeColor="text1" w:themeTint="A6"/>
          <w:sz w:val="36"/>
          <w:szCs w:val="36"/>
        </w:rPr>
      </w:pPr>
      <w:r w:rsidRPr="00C7059C">
        <w:rPr>
          <w:rFonts w:ascii="Gotham Book" w:hAnsi="Gotham Book"/>
          <w:i/>
          <w:iCs/>
          <w:color w:val="595959" w:themeColor="text1" w:themeTint="A6"/>
          <w:sz w:val="36"/>
          <w:szCs w:val="36"/>
        </w:rPr>
        <w:t>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0A0919" w:rsidRPr="00C7059C" w14:paraId="51AE1F4E" w14:textId="77777777" w:rsidTr="00CB2B0D">
        <w:trPr>
          <w:trHeight w:val="501"/>
        </w:trPr>
        <w:tc>
          <w:tcPr>
            <w:tcW w:w="1122" w:type="dxa"/>
            <w:tcBorders>
              <w:top w:val="nil"/>
              <w:left w:val="nil"/>
              <w:bottom w:val="nil"/>
              <w:right w:val="single" w:sz="4" w:space="0" w:color="auto"/>
            </w:tcBorders>
            <w:vAlign w:val="bottom"/>
          </w:tcPr>
          <w:p w14:paraId="03DABCF4" w14:textId="77777777" w:rsidR="000A0919" w:rsidRPr="00C7059C" w:rsidRDefault="000A0919" w:rsidP="00CB2B0D">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798F83E6" w14:textId="77777777" w:rsidR="000A0919" w:rsidRPr="00C7059C" w:rsidRDefault="000A0919" w:rsidP="00CB2B0D">
            <w:pPr>
              <w:rPr>
                <w:rFonts w:ascii="Gotham Book" w:hAnsi="Gotham Book"/>
              </w:rPr>
            </w:pPr>
          </w:p>
        </w:tc>
        <w:tc>
          <w:tcPr>
            <w:tcW w:w="960" w:type="dxa"/>
            <w:tcBorders>
              <w:top w:val="nil"/>
              <w:left w:val="single" w:sz="4" w:space="0" w:color="auto"/>
              <w:bottom w:val="nil"/>
              <w:right w:val="single" w:sz="4" w:space="0" w:color="auto"/>
            </w:tcBorders>
            <w:vAlign w:val="bottom"/>
          </w:tcPr>
          <w:p w14:paraId="11C415A7" w14:textId="77777777" w:rsidR="000A0919" w:rsidRPr="00C7059C" w:rsidRDefault="000A0919" w:rsidP="00CB2B0D">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2A7F6E54" w14:textId="77777777" w:rsidR="000A0919" w:rsidRPr="00C7059C" w:rsidRDefault="000A0919" w:rsidP="00CB2B0D">
            <w:pPr>
              <w:rPr>
                <w:rFonts w:ascii="Gotham Book" w:hAnsi="Gotham Book"/>
              </w:rPr>
            </w:pPr>
          </w:p>
        </w:tc>
        <w:tc>
          <w:tcPr>
            <w:tcW w:w="1175" w:type="dxa"/>
            <w:tcBorders>
              <w:top w:val="nil"/>
              <w:left w:val="single" w:sz="4" w:space="0" w:color="auto"/>
              <w:bottom w:val="nil"/>
              <w:right w:val="single" w:sz="4" w:space="0" w:color="auto"/>
            </w:tcBorders>
            <w:vAlign w:val="bottom"/>
          </w:tcPr>
          <w:p w14:paraId="75B84B01" w14:textId="77777777" w:rsidR="000A0919" w:rsidRPr="00C7059C" w:rsidRDefault="000A0919" w:rsidP="00CB2B0D">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3A2251EF" w14:textId="77777777" w:rsidR="000A0919" w:rsidRPr="00C7059C" w:rsidRDefault="000A0919" w:rsidP="00CB2B0D">
            <w:pPr>
              <w:rPr>
                <w:rFonts w:ascii="Gotham Book" w:hAnsi="Gotham Book"/>
              </w:rPr>
            </w:pPr>
          </w:p>
        </w:tc>
      </w:tr>
    </w:tbl>
    <w:p w14:paraId="1FF3D93E" w14:textId="77777777" w:rsidR="000A0919" w:rsidRPr="00C7059C" w:rsidRDefault="000A0919" w:rsidP="000A0919">
      <w:pPr>
        <w:spacing w:after="0"/>
        <w:rPr>
          <w:rFonts w:ascii="Gotham Book" w:hAnsi="Gotham Book"/>
          <w:sz w:val="18"/>
          <w:szCs w:val="18"/>
        </w:rPr>
      </w:pPr>
    </w:p>
    <w:p w14:paraId="3B7388B6" w14:textId="77777777" w:rsidR="0065438C" w:rsidRPr="000A0919" w:rsidRDefault="0065438C">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5"/>
        <w:gridCol w:w="4495"/>
      </w:tblGrid>
      <w:tr w:rsidR="000A0919" w:rsidRPr="00BC051C" w14:paraId="4E3D784B" w14:textId="77777777" w:rsidTr="009323F5">
        <w:tc>
          <w:tcPr>
            <w:tcW w:w="6295" w:type="dxa"/>
          </w:tcPr>
          <w:p w14:paraId="307B6B70" w14:textId="77777777" w:rsidR="000A0919" w:rsidRPr="00BC051C" w:rsidRDefault="000A0919">
            <w:pPr>
              <w:rPr>
                <w:rFonts w:ascii="Lucida Calligraphy" w:hAnsi="Lucida Calligraphy"/>
                <w:sz w:val="22"/>
                <w:szCs w:val="22"/>
                <w:lang w:val="es-MX"/>
              </w:rPr>
            </w:pPr>
            <w:r w:rsidRPr="00BC051C">
              <w:rPr>
                <w:rFonts w:ascii="Lucida Calligraphy" w:hAnsi="Lucida Calligraphy"/>
                <w:sz w:val="22"/>
                <w:szCs w:val="22"/>
                <w:lang w:val="es-MX"/>
              </w:rPr>
              <w:t>"Sea cual sea el futuro, el retumbar de la trompeta de guerra ya ha resonado en todos los Estados esclavistas, y mientras miles se preparan para nuestra defensa, Texas está plenamente consciente de la crisis. La requisición de tres mil hombres ya ha sido llevada a cabo por el gobernador Clark, quien ha emitido su proclamación para la incorporación de tropas. Solo falta que nuestro pueblo sepa que su suelo corre el peligro de ser presionado por los pies de batallones de soldados del Norte."</w:t>
            </w:r>
          </w:p>
          <w:p w14:paraId="5EA5FB68" w14:textId="602CD7F5" w:rsidR="000A0919" w:rsidRPr="000A0919" w:rsidRDefault="009323F5" w:rsidP="000A0919">
            <w:pPr>
              <w:pStyle w:val="ListParagraph"/>
              <w:numPr>
                <w:ilvl w:val="0"/>
                <w:numId w:val="1"/>
              </w:numPr>
            </w:pPr>
            <w:r w:rsidRPr="00BC051C">
              <w:rPr>
                <w:lang w:val="es-MX"/>
              </w:rPr>
              <w:t xml:space="preserve">"Gaceta oficial. (Austin, Texas.), sábado, 20 de abril de 1861." </w:t>
            </w:r>
            <w:r w:rsidRPr="009323F5">
              <w:t>El portal a la historia de Texas</w:t>
            </w:r>
          </w:p>
        </w:tc>
        <w:tc>
          <w:tcPr>
            <w:tcW w:w="4495" w:type="dxa"/>
          </w:tcPr>
          <w:p w14:paraId="20AAA9B6" w14:textId="4CC0F75E" w:rsidR="000A0919" w:rsidRPr="00BC051C" w:rsidRDefault="009323F5" w:rsidP="009323F5">
            <w:pPr>
              <w:pStyle w:val="ListParagraph"/>
              <w:numPr>
                <w:ilvl w:val="0"/>
                <w:numId w:val="2"/>
              </w:numPr>
              <w:rPr>
                <w:lang w:val="es-MX"/>
              </w:rPr>
            </w:pPr>
            <w:r w:rsidRPr="00BC051C">
              <w:rPr>
                <w:lang w:val="es-MX"/>
              </w:rPr>
              <w:t xml:space="preserve">¿Qué podemos aprender sobre esta época de la historia de Texas a partir de este extracto de fuente primaria? </w:t>
            </w:r>
          </w:p>
        </w:tc>
      </w:tr>
    </w:tbl>
    <w:p w14:paraId="4C852795" w14:textId="77777777" w:rsidR="000A0919" w:rsidRPr="00BC051C" w:rsidRDefault="000A0919">
      <w:pPr>
        <w:rPr>
          <w:lang w:val="es-MX"/>
        </w:rPr>
      </w:pPr>
    </w:p>
    <w:p w14:paraId="63C2D23A" w14:textId="77777777" w:rsidR="000A0919" w:rsidRPr="00BC051C" w:rsidRDefault="000A0919" w:rsidP="000A0919">
      <w:pPr>
        <w:rPr>
          <w:rFonts w:ascii="Gotham Book" w:hAnsi="Gotham Book"/>
          <w:lang w:val="es-MX"/>
        </w:rPr>
      </w:pPr>
    </w:p>
    <w:p w14:paraId="45C49692" w14:textId="77777777" w:rsidR="009323F5" w:rsidRPr="00BC051C" w:rsidRDefault="009323F5" w:rsidP="009323F5">
      <w:pPr>
        <w:spacing w:after="0"/>
        <w:rPr>
          <w:rFonts w:ascii="Gotham Book" w:hAnsi="Gotham Book"/>
          <w:sz w:val="56"/>
          <w:szCs w:val="240"/>
          <w:lang w:val="es-MX"/>
        </w:rPr>
      </w:pPr>
      <w:r w:rsidRPr="00C7059C">
        <w:rPr>
          <w:rFonts w:ascii="Gotham Book" w:hAnsi="Gotham Book"/>
          <w:noProof/>
        </w:rPr>
        <w:drawing>
          <wp:inline distT="0" distB="0" distL="0" distR="0" wp14:anchorId="625B0CA4" wp14:editId="5A00E18B">
            <wp:extent cx="590550" cy="542809"/>
            <wp:effectExtent l="0" t="0" r="0" b="0"/>
            <wp:docPr id="391420275"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610711" cy="561340"/>
                    </a:xfrm>
                    <a:prstGeom prst="rect">
                      <a:avLst/>
                    </a:prstGeom>
                    <a:noFill/>
                    <a:ln>
                      <a:noFill/>
                    </a:ln>
                    <a:extLst>
                      <a:ext uri="{53640926-AAD7-44D8-BBD7-CCE9431645EC}">
                        <a14:shadowObscured xmlns:a14="http://schemas.microsoft.com/office/drawing/2010/main"/>
                      </a:ext>
                    </a:extLst>
                  </pic:spPr>
                </pic:pic>
              </a:graphicData>
            </a:graphic>
          </wp:inline>
        </w:drawing>
      </w:r>
      <w:r w:rsidRPr="00BC051C">
        <w:rPr>
          <w:rFonts w:ascii="Gotham Book" w:hAnsi="Gotham Book"/>
          <w:lang w:val="es-MX"/>
        </w:rPr>
        <w:t xml:space="preserve">   </w:t>
      </w:r>
      <w:r w:rsidRPr="00BC051C">
        <w:rPr>
          <w:rFonts w:ascii="Gotham Book" w:hAnsi="Gotham Book"/>
          <w:b/>
          <w:bCs/>
          <w:i/>
          <w:iCs/>
          <w:sz w:val="52"/>
          <w:szCs w:val="200"/>
          <w:lang w:val="es-MX"/>
        </w:rPr>
        <w:t xml:space="preserve">Calentamiento: </w:t>
      </w:r>
      <w:r w:rsidRPr="00BC051C">
        <w:rPr>
          <w:rFonts w:ascii="Gotham Book" w:hAnsi="Gotham Book"/>
          <w:sz w:val="46"/>
          <w:szCs w:val="144"/>
          <w:lang w:val="es-MX"/>
        </w:rPr>
        <w:t>¿Cómo sabemos lo que sabemos?</w:t>
      </w:r>
    </w:p>
    <w:p w14:paraId="21D1355C" w14:textId="77777777" w:rsidR="009323F5" w:rsidRPr="00C7059C" w:rsidRDefault="009323F5" w:rsidP="009323F5">
      <w:pPr>
        <w:spacing w:after="0" w:line="360" w:lineRule="auto"/>
        <w:jc w:val="center"/>
        <w:rPr>
          <w:rFonts w:ascii="Gotham Book" w:hAnsi="Gotham Book"/>
          <w:i/>
          <w:iCs/>
          <w:color w:val="595959" w:themeColor="text1" w:themeTint="A6"/>
          <w:sz w:val="36"/>
          <w:szCs w:val="36"/>
        </w:rPr>
      </w:pPr>
      <w:r w:rsidRPr="00C7059C">
        <w:rPr>
          <w:rFonts w:ascii="Gotham Book" w:hAnsi="Gotham Book"/>
          <w:i/>
          <w:iCs/>
          <w:color w:val="595959" w:themeColor="text1" w:themeTint="A6"/>
          <w:sz w:val="36"/>
          <w:szCs w:val="36"/>
        </w:rPr>
        <w:t>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9323F5" w:rsidRPr="00C7059C" w14:paraId="72D4866A" w14:textId="77777777" w:rsidTr="00CB2B0D">
        <w:trPr>
          <w:trHeight w:val="501"/>
        </w:trPr>
        <w:tc>
          <w:tcPr>
            <w:tcW w:w="1122" w:type="dxa"/>
            <w:tcBorders>
              <w:top w:val="nil"/>
              <w:left w:val="nil"/>
              <w:bottom w:val="nil"/>
              <w:right w:val="single" w:sz="4" w:space="0" w:color="auto"/>
            </w:tcBorders>
            <w:vAlign w:val="bottom"/>
          </w:tcPr>
          <w:p w14:paraId="71F8C77C" w14:textId="77777777" w:rsidR="009323F5" w:rsidRPr="00C7059C" w:rsidRDefault="009323F5" w:rsidP="00CB2B0D">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7009E1AC" w14:textId="77777777" w:rsidR="009323F5" w:rsidRPr="00C7059C" w:rsidRDefault="009323F5" w:rsidP="00CB2B0D">
            <w:pPr>
              <w:rPr>
                <w:rFonts w:ascii="Gotham Book" w:hAnsi="Gotham Book"/>
              </w:rPr>
            </w:pPr>
          </w:p>
        </w:tc>
        <w:tc>
          <w:tcPr>
            <w:tcW w:w="960" w:type="dxa"/>
            <w:tcBorders>
              <w:top w:val="nil"/>
              <w:left w:val="single" w:sz="4" w:space="0" w:color="auto"/>
              <w:bottom w:val="nil"/>
              <w:right w:val="single" w:sz="4" w:space="0" w:color="auto"/>
            </w:tcBorders>
            <w:vAlign w:val="bottom"/>
          </w:tcPr>
          <w:p w14:paraId="4623669D" w14:textId="77777777" w:rsidR="009323F5" w:rsidRPr="00C7059C" w:rsidRDefault="009323F5" w:rsidP="00CB2B0D">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57247ADD" w14:textId="77777777" w:rsidR="009323F5" w:rsidRPr="00C7059C" w:rsidRDefault="009323F5" w:rsidP="00CB2B0D">
            <w:pPr>
              <w:rPr>
                <w:rFonts w:ascii="Gotham Book" w:hAnsi="Gotham Book"/>
              </w:rPr>
            </w:pPr>
          </w:p>
        </w:tc>
        <w:tc>
          <w:tcPr>
            <w:tcW w:w="1175" w:type="dxa"/>
            <w:tcBorders>
              <w:top w:val="nil"/>
              <w:left w:val="single" w:sz="4" w:space="0" w:color="auto"/>
              <w:bottom w:val="nil"/>
              <w:right w:val="single" w:sz="4" w:space="0" w:color="auto"/>
            </w:tcBorders>
            <w:vAlign w:val="bottom"/>
          </w:tcPr>
          <w:p w14:paraId="2D8A445B" w14:textId="77777777" w:rsidR="009323F5" w:rsidRPr="00C7059C" w:rsidRDefault="009323F5" w:rsidP="00CB2B0D">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2C6D2942" w14:textId="77777777" w:rsidR="009323F5" w:rsidRPr="00C7059C" w:rsidRDefault="009323F5" w:rsidP="00CB2B0D">
            <w:pPr>
              <w:rPr>
                <w:rFonts w:ascii="Gotham Book" w:hAnsi="Gotham Book"/>
              </w:rPr>
            </w:pPr>
          </w:p>
        </w:tc>
      </w:tr>
    </w:tbl>
    <w:p w14:paraId="5E358E9C" w14:textId="77777777" w:rsidR="009323F5" w:rsidRPr="00C7059C" w:rsidRDefault="009323F5" w:rsidP="009323F5">
      <w:pPr>
        <w:spacing w:after="0"/>
        <w:rPr>
          <w:rFonts w:ascii="Gotham Book" w:hAnsi="Gotham Book"/>
          <w:sz w:val="18"/>
          <w:szCs w:val="18"/>
        </w:rPr>
      </w:pPr>
    </w:p>
    <w:p w14:paraId="47ACEB7C" w14:textId="77777777" w:rsidR="009323F5" w:rsidRPr="000A0919" w:rsidRDefault="009323F5" w:rsidP="009323F5">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5"/>
        <w:gridCol w:w="4495"/>
      </w:tblGrid>
      <w:tr w:rsidR="009323F5" w:rsidRPr="00BC051C" w14:paraId="185E1B7D" w14:textId="77777777" w:rsidTr="00CB2B0D">
        <w:tc>
          <w:tcPr>
            <w:tcW w:w="6295" w:type="dxa"/>
          </w:tcPr>
          <w:p w14:paraId="4FD2D4B4" w14:textId="77777777" w:rsidR="009323F5" w:rsidRPr="00BC051C" w:rsidRDefault="009323F5" w:rsidP="00CB2B0D">
            <w:pPr>
              <w:rPr>
                <w:rFonts w:ascii="Lucida Calligraphy" w:hAnsi="Lucida Calligraphy"/>
                <w:sz w:val="22"/>
                <w:szCs w:val="22"/>
                <w:lang w:val="es-MX"/>
              </w:rPr>
            </w:pPr>
            <w:r w:rsidRPr="00BC051C">
              <w:rPr>
                <w:rFonts w:ascii="Lucida Calligraphy" w:hAnsi="Lucida Calligraphy"/>
                <w:sz w:val="22"/>
                <w:szCs w:val="22"/>
                <w:lang w:val="es-MX"/>
              </w:rPr>
              <w:t xml:space="preserve">"Sea cual sea el futuro, el retumbar de la trompeta de guerra ya ha resonado en todos los Estados esclavistas, y mientras miles se preparan para nuestra defensa, Texas está plenamente consciente de la crisis. La requisición de tres mil hombres ya ha sido llevada a cabo por el gobernador Clark, quien ha emitido su proclamación para la incorporación de tropas. Solo falta que nuestro </w:t>
            </w:r>
            <w:r w:rsidRPr="00BC051C">
              <w:rPr>
                <w:rFonts w:ascii="Lucida Calligraphy" w:hAnsi="Lucida Calligraphy"/>
                <w:sz w:val="22"/>
                <w:szCs w:val="22"/>
                <w:lang w:val="es-MX"/>
              </w:rPr>
              <w:lastRenderedPageBreak/>
              <w:t>pueblo sepa que su suelo corre el peligro de ser presionado por los pies de batallones de soldados del Norte."</w:t>
            </w:r>
          </w:p>
          <w:p w14:paraId="6636E35E" w14:textId="24BB0CCA" w:rsidR="009323F5" w:rsidRPr="000A0919" w:rsidRDefault="009323F5" w:rsidP="00CB2B0D">
            <w:pPr>
              <w:pStyle w:val="ListParagraph"/>
              <w:numPr>
                <w:ilvl w:val="0"/>
                <w:numId w:val="1"/>
              </w:numPr>
            </w:pPr>
            <w:r w:rsidRPr="00BC051C">
              <w:rPr>
                <w:lang w:val="es-MX"/>
              </w:rPr>
              <w:t xml:space="preserve">"Gaceta oficial. (Austin, Texas.), sábado, 20 de abril de 1861." </w:t>
            </w:r>
            <w:r w:rsidRPr="009323F5">
              <w:t>El portal a la historia de Texas</w:t>
            </w:r>
          </w:p>
        </w:tc>
        <w:tc>
          <w:tcPr>
            <w:tcW w:w="4495" w:type="dxa"/>
          </w:tcPr>
          <w:p w14:paraId="62BD6F27" w14:textId="0D4990AE" w:rsidR="009323F5" w:rsidRPr="00BC051C" w:rsidRDefault="009323F5" w:rsidP="009323F5">
            <w:pPr>
              <w:pStyle w:val="ListParagraph"/>
              <w:numPr>
                <w:ilvl w:val="0"/>
                <w:numId w:val="3"/>
              </w:numPr>
              <w:rPr>
                <w:lang w:val="es-MX"/>
              </w:rPr>
            </w:pPr>
            <w:r w:rsidRPr="00BC051C">
              <w:rPr>
                <w:lang w:val="es-MX"/>
              </w:rPr>
              <w:lastRenderedPageBreak/>
              <w:t xml:space="preserve">¿Qué podemos aprender sobre esta época de la historia de Texas a partir de este extracto de fuente primaria? </w:t>
            </w:r>
          </w:p>
        </w:tc>
      </w:tr>
    </w:tbl>
    <w:p w14:paraId="6D514899" w14:textId="77777777" w:rsidR="009323F5" w:rsidRPr="00BC051C" w:rsidRDefault="009323F5" w:rsidP="009323F5">
      <w:pPr>
        <w:rPr>
          <w:lang w:val="es-MX"/>
        </w:rPr>
      </w:pPr>
    </w:p>
    <w:p w14:paraId="4407F86D" w14:textId="488BF679" w:rsidR="000A0919" w:rsidRPr="00BC051C" w:rsidRDefault="009323F5" w:rsidP="000A0919">
      <w:pPr>
        <w:rPr>
          <w:rFonts w:ascii="Gotham Book" w:hAnsi="Gotham Book"/>
          <w:sz w:val="8"/>
          <w:szCs w:val="8"/>
          <w:lang w:val="es-MX"/>
        </w:rPr>
      </w:pPr>
      <w:bookmarkStart w:id="0" w:name="_Hlk193898309"/>
      <w:r w:rsidRPr="00C7059C">
        <w:rPr>
          <w:rFonts w:ascii="Gotham Book" w:hAnsi="Gotham Book"/>
          <w:noProof/>
          <w:sz w:val="18"/>
          <w:szCs w:val="18"/>
        </w:rPr>
        <w:drawing>
          <wp:anchor distT="0" distB="0" distL="114300" distR="114300" simplePos="0" relativeHeight="251659264" behindDoc="1" locked="0" layoutInCell="1" allowOverlap="1" wp14:anchorId="4C01EC43" wp14:editId="6EA20FB9">
            <wp:simplePos x="0" y="0"/>
            <wp:positionH relativeFrom="margin">
              <wp:align>left</wp:align>
            </wp:positionH>
            <wp:positionV relativeFrom="paragraph">
              <wp:posOffset>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00D24305" w14:textId="627DD5A5" w:rsidR="000A0919" w:rsidRPr="00C7059C" w:rsidRDefault="009323F5" w:rsidP="000A0919">
      <w:pPr>
        <w:jc w:val="center"/>
        <w:rPr>
          <w:rFonts w:ascii="Gotham Book" w:hAnsi="Gotham Book"/>
          <w:b/>
          <w:bCs/>
          <w:i/>
          <w:iCs/>
          <w:sz w:val="44"/>
          <w:szCs w:val="40"/>
        </w:rPr>
      </w:pPr>
      <w:bookmarkStart w:id="1" w:name="_Hlk187049074"/>
      <w:r w:rsidRPr="00BC051C">
        <w:rPr>
          <w:rFonts w:ascii="Gotham Book" w:hAnsi="Gotham Book"/>
          <w:sz w:val="44"/>
          <w:szCs w:val="44"/>
          <w:lang w:val="es-MX"/>
        </w:rPr>
        <w:t xml:space="preserve">¿Cómo sabemos lo que sabemos? </w:t>
      </w:r>
      <w:proofErr w:type="spellStart"/>
      <w:r w:rsidR="000A0919" w:rsidRPr="00CB3650">
        <w:rPr>
          <w:rFonts w:ascii="Gotham Book" w:hAnsi="Gotham Book"/>
          <w:b/>
          <w:bCs/>
          <w:i/>
          <w:iCs/>
          <w:sz w:val="52"/>
          <w:szCs w:val="52"/>
        </w:rPr>
        <w:t>Billete</w:t>
      </w:r>
      <w:proofErr w:type="spellEnd"/>
      <w:r w:rsidR="000A0919" w:rsidRPr="00CB3650">
        <w:rPr>
          <w:rFonts w:ascii="Gotham Book" w:hAnsi="Gotham Book"/>
          <w:b/>
          <w:bCs/>
          <w:i/>
          <w:iCs/>
          <w:sz w:val="52"/>
          <w:szCs w:val="52"/>
        </w:rPr>
        <w:t xml:space="preserve"> de </w:t>
      </w:r>
      <w:proofErr w:type="spellStart"/>
      <w:r w:rsidR="000A0919" w:rsidRPr="00CB3650">
        <w:rPr>
          <w:rFonts w:ascii="Gotham Book" w:hAnsi="Gotham Book"/>
          <w:b/>
          <w:bCs/>
          <w:i/>
          <w:iCs/>
          <w:sz w:val="52"/>
          <w:szCs w:val="52"/>
        </w:rPr>
        <w:t>salida</w:t>
      </w:r>
      <w:proofErr w:type="spellEnd"/>
    </w:p>
    <w:bookmarkEnd w:id="0"/>
    <w:bookmarkEnd w:id="1"/>
    <w:p w14:paraId="1D61CCFE" w14:textId="77777777" w:rsidR="000A0919" w:rsidRPr="00C7059C" w:rsidRDefault="000A0919" w:rsidP="000A0919">
      <w:pPr>
        <w:rPr>
          <w:rFonts w:ascii="Gotham Book" w:hAnsi="Gotham Book"/>
          <w:sz w:val="24"/>
          <w:szCs w:val="24"/>
        </w:rPr>
      </w:pPr>
    </w:p>
    <w:p w14:paraId="2A1ADDFC" w14:textId="58A13631" w:rsidR="000A0919" w:rsidRDefault="009323F5" w:rsidP="009323F5">
      <w:pPr>
        <w:pStyle w:val="ListParagraph"/>
        <w:numPr>
          <w:ilvl w:val="0"/>
          <w:numId w:val="4"/>
        </w:numPr>
      </w:pPr>
      <w:r w:rsidRPr="00BC051C">
        <w:rPr>
          <w:lang w:val="es-MX"/>
        </w:rPr>
        <w:t xml:space="preserve">¿Cuál de las siguientes afirmaciones proporciona información precisa sobre la época de la Guerra Civil en Texas basada en los extractos de fuentes primarias que analizamos hoy? </w:t>
      </w:r>
      <w:r>
        <w:t xml:space="preserve">Rodea o </w:t>
      </w:r>
      <w:proofErr w:type="spellStart"/>
      <w:r>
        <w:t>resalta</w:t>
      </w:r>
      <w:proofErr w:type="spellEnd"/>
      <w:r>
        <w:t xml:space="preserve"> </w:t>
      </w:r>
      <w:r w:rsidRPr="009323F5">
        <w:rPr>
          <w:b/>
          <w:bCs/>
        </w:rPr>
        <w:t>CUATRO</w:t>
      </w:r>
      <w:r>
        <w:t xml:space="preserve">. </w:t>
      </w:r>
    </w:p>
    <w:tbl>
      <w:tblPr>
        <w:tblStyle w:val="TableGrid"/>
        <w:tblW w:w="0" w:type="auto"/>
        <w:tblLook w:val="04A0" w:firstRow="1" w:lastRow="0" w:firstColumn="1" w:lastColumn="0" w:noHBand="0" w:noVBand="1"/>
      </w:tblPr>
      <w:tblGrid>
        <w:gridCol w:w="3596"/>
        <w:gridCol w:w="3597"/>
        <w:gridCol w:w="3597"/>
      </w:tblGrid>
      <w:tr w:rsidR="009323F5" w:rsidRPr="00BC051C" w14:paraId="113B7E06" w14:textId="77777777" w:rsidTr="009323F5">
        <w:trPr>
          <w:trHeight w:val="1349"/>
        </w:trPr>
        <w:tc>
          <w:tcPr>
            <w:tcW w:w="3596" w:type="dxa"/>
            <w:vAlign w:val="center"/>
          </w:tcPr>
          <w:p w14:paraId="29B994C1" w14:textId="053DBF5C" w:rsidR="009323F5" w:rsidRPr="00BC051C" w:rsidRDefault="009323F5" w:rsidP="009323F5">
            <w:pPr>
              <w:jc w:val="center"/>
              <w:rPr>
                <w:rFonts w:ascii="Gotham Book" w:hAnsi="Gotham Book"/>
                <w:sz w:val="24"/>
                <w:szCs w:val="24"/>
                <w:lang w:val="es-MX"/>
              </w:rPr>
            </w:pPr>
            <w:r w:rsidRPr="00BC051C">
              <w:rPr>
                <w:rFonts w:ascii="Gotham Book" w:hAnsi="Gotham Book"/>
                <w:sz w:val="24"/>
                <w:szCs w:val="24"/>
                <w:lang w:val="es-MX"/>
              </w:rPr>
              <w:t>La mayoría de los texanos apoyaban la secesión, aunque algunos, como Sam Houston, apoyaban a la Unión</w:t>
            </w:r>
          </w:p>
        </w:tc>
        <w:tc>
          <w:tcPr>
            <w:tcW w:w="3597" w:type="dxa"/>
            <w:vAlign w:val="center"/>
          </w:tcPr>
          <w:p w14:paraId="4F8C77BE" w14:textId="7DFCFC6F" w:rsidR="009323F5" w:rsidRPr="00BC051C" w:rsidRDefault="009323F5" w:rsidP="009323F5">
            <w:pPr>
              <w:jc w:val="center"/>
              <w:rPr>
                <w:rFonts w:ascii="Gotham Book" w:hAnsi="Gotham Book"/>
                <w:sz w:val="24"/>
                <w:szCs w:val="24"/>
                <w:lang w:val="es-MX"/>
              </w:rPr>
            </w:pPr>
            <w:r w:rsidRPr="00BC051C">
              <w:rPr>
                <w:rFonts w:ascii="Gotham Book" w:hAnsi="Gotham Book"/>
                <w:sz w:val="24"/>
                <w:szCs w:val="24"/>
                <w:lang w:val="es-MX"/>
              </w:rPr>
              <w:t>La causa principal de la Guerra Civil entre el Norte y el Sur fue la cuestión de la esclavitud.</w:t>
            </w:r>
          </w:p>
        </w:tc>
        <w:tc>
          <w:tcPr>
            <w:tcW w:w="3597" w:type="dxa"/>
            <w:vAlign w:val="center"/>
          </w:tcPr>
          <w:p w14:paraId="5ADAA6BD" w14:textId="3DA0486E" w:rsidR="009323F5" w:rsidRPr="00BC051C" w:rsidRDefault="009323F5" w:rsidP="009323F5">
            <w:pPr>
              <w:jc w:val="center"/>
              <w:rPr>
                <w:rFonts w:ascii="Gotham Book" w:hAnsi="Gotham Book"/>
                <w:sz w:val="24"/>
                <w:szCs w:val="24"/>
                <w:lang w:val="es-MX"/>
              </w:rPr>
            </w:pPr>
            <w:r w:rsidRPr="00BC051C">
              <w:rPr>
                <w:rFonts w:ascii="Gotham Book" w:hAnsi="Gotham Book"/>
                <w:sz w:val="24"/>
                <w:szCs w:val="24"/>
                <w:lang w:val="es-MX"/>
              </w:rPr>
              <w:t>Los texanos que no lucharon en la guerra ayudaron comerciando a través de México y proporcionando suministros.</w:t>
            </w:r>
          </w:p>
        </w:tc>
      </w:tr>
      <w:tr w:rsidR="009323F5" w:rsidRPr="00BC051C" w14:paraId="67B45B9D" w14:textId="77777777" w:rsidTr="009323F5">
        <w:trPr>
          <w:trHeight w:val="1430"/>
        </w:trPr>
        <w:tc>
          <w:tcPr>
            <w:tcW w:w="3596" w:type="dxa"/>
            <w:vAlign w:val="center"/>
          </w:tcPr>
          <w:p w14:paraId="325E6C18" w14:textId="6AEA3FFD" w:rsidR="009323F5" w:rsidRPr="00BC051C" w:rsidRDefault="009323F5" w:rsidP="009323F5">
            <w:pPr>
              <w:jc w:val="center"/>
              <w:rPr>
                <w:rFonts w:ascii="Gotham Book" w:hAnsi="Gotham Book"/>
                <w:sz w:val="24"/>
                <w:szCs w:val="24"/>
                <w:lang w:val="es-MX"/>
              </w:rPr>
            </w:pPr>
            <w:r w:rsidRPr="00BC051C">
              <w:rPr>
                <w:rFonts w:ascii="Gotham Book" w:hAnsi="Gotham Book"/>
                <w:sz w:val="24"/>
                <w:szCs w:val="24"/>
                <w:lang w:val="es-MX"/>
              </w:rPr>
              <w:t>La guerra afectó a afroamericanos y mujeres, así como a soldados del ejército.</w:t>
            </w:r>
          </w:p>
        </w:tc>
        <w:tc>
          <w:tcPr>
            <w:tcW w:w="3597" w:type="dxa"/>
            <w:vAlign w:val="center"/>
          </w:tcPr>
          <w:p w14:paraId="6B65AC3C" w14:textId="5DD6F8AD" w:rsidR="009323F5" w:rsidRPr="00BC051C" w:rsidRDefault="009323F5" w:rsidP="009323F5">
            <w:pPr>
              <w:jc w:val="center"/>
              <w:rPr>
                <w:rFonts w:ascii="Gotham Book" w:hAnsi="Gotham Book"/>
                <w:sz w:val="24"/>
                <w:szCs w:val="24"/>
                <w:lang w:val="es-MX"/>
              </w:rPr>
            </w:pPr>
            <w:r w:rsidRPr="00BC051C">
              <w:rPr>
                <w:rFonts w:ascii="Gotham Book" w:hAnsi="Gotham Book"/>
                <w:sz w:val="24"/>
                <w:szCs w:val="24"/>
                <w:lang w:val="es-MX"/>
              </w:rPr>
              <w:t>El conflicto con México impidió que los texanos pudieran comerciar con éxito sus productos.</w:t>
            </w:r>
          </w:p>
        </w:tc>
        <w:tc>
          <w:tcPr>
            <w:tcW w:w="3597" w:type="dxa"/>
            <w:vAlign w:val="center"/>
          </w:tcPr>
          <w:p w14:paraId="368D59A2" w14:textId="28B968F9" w:rsidR="009323F5" w:rsidRPr="00BC051C" w:rsidRDefault="009323F5" w:rsidP="009323F5">
            <w:pPr>
              <w:jc w:val="center"/>
              <w:rPr>
                <w:rFonts w:ascii="Gotham Book" w:hAnsi="Gotham Book"/>
                <w:sz w:val="24"/>
                <w:szCs w:val="24"/>
                <w:lang w:val="es-MX"/>
              </w:rPr>
            </w:pPr>
            <w:r w:rsidRPr="00BC051C">
              <w:rPr>
                <w:rFonts w:ascii="Gotham Book" w:hAnsi="Gotham Book"/>
                <w:sz w:val="24"/>
                <w:szCs w:val="24"/>
                <w:lang w:val="es-MX"/>
              </w:rPr>
              <w:t>La mayoría de los texanos permanecieron neutrales durante el conflicto, prefiriendo evitar la violencia de la guerra.</w:t>
            </w:r>
          </w:p>
        </w:tc>
      </w:tr>
    </w:tbl>
    <w:p w14:paraId="06F8FD39" w14:textId="77777777" w:rsidR="009323F5" w:rsidRPr="00BC051C" w:rsidRDefault="009323F5" w:rsidP="009323F5">
      <w:pPr>
        <w:rPr>
          <w:lang w:val="es-MX"/>
        </w:rPr>
      </w:pPr>
    </w:p>
    <w:p w14:paraId="652BB8A1" w14:textId="77777777" w:rsidR="009323F5" w:rsidRPr="00BC051C" w:rsidRDefault="009323F5" w:rsidP="009323F5">
      <w:pPr>
        <w:rPr>
          <w:lang w:val="es-MX"/>
        </w:rPr>
      </w:pPr>
    </w:p>
    <w:p w14:paraId="782DB45E" w14:textId="77777777" w:rsidR="009323F5" w:rsidRPr="00BC051C" w:rsidRDefault="009323F5" w:rsidP="009323F5">
      <w:pPr>
        <w:rPr>
          <w:lang w:val="es-MX"/>
        </w:rPr>
      </w:pPr>
    </w:p>
    <w:p w14:paraId="5CEAB83D" w14:textId="77777777" w:rsidR="009323F5" w:rsidRPr="00BC051C" w:rsidRDefault="009323F5" w:rsidP="009323F5">
      <w:pPr>
        <w:rPr>
          <w:lang w:val="es-MX"/>
        </w:rPr>
      </w:pPr>
    </w:p>
    <w:p w14:paraId="3B81B3F1" w14:textId="77777777" w:rsidR="009323F5" w:rsidRPr="00BC051C" w:rsidRDefault="009323F5" w:rsidP="009323F5">
      <w:pPr>
        <w:rPr>
          <w:lang w:val="es-MX"/>
        </w:rPr>
      </w:pPr>
    </w:p>
    <w:p w14:paraId="44DD12E9" w14:textId="77777777" w:rsidR="009323F5" w:rsidRPr="00BC051C" w:rsidRDefault="009323F5" w:rsidP="009323F5">
      <w:pPr>
        <w:rPr>
          <w:lang w:val="es-MX"/>
        </w:rPr>
      </w:pPr>
    </w:p>
    <w:p w14:paraId="468052F6" w14:textId="77777777" w:rsidR="009323F5" w:rsidRPr="00BC051C" w:rsidRDefault="009323F5" w:rsidP="009323F5">
      <w:pPr>
        <w:rPr>
          <w:lang w:val="es-MX"/>
        </w:rPr>
      </w:pPr>
    </w:p>
    <w:p w14:paraId="363F663F" w14:textId="77777777" w:rsidR="009323F5" w:rsidRPr="00BC051C" w:rsidRDefault="009323F5" w:rsidP="009323F5">
      <w:pPr>
        <w:rPr>
          <w:lang w:val="es-MX"/>
        </w:rPr>
      </w:pPr>
    </w:p>
    <w:p w14:paraId="39425A4D" w14:textId="77777777" w:rsidR="009323F5" w:rsidRPr="00BC051C" w:rsidRDefault="009323F5" w:rsidP="009323F5">
      <w:pPr>
        <w:rPr>
          <w:rFonts w:ascii="Gotham Book" w:hAnsi="Gotham Book"/>
          <w:sz w:val="8"/>
          <w:szCs w:val="8"/>
          <w:lang w:val="es-MX"/>
        </w:rPr>
      </w:pPr>
      <w:r w:rsidRPr="00C7059C">
        <w:rPr>
          <w:rFonts w:ascii="Gotham Book" w:hAnsi="Gotham Book"/>
          <w:noProof/>
          <w:sz w:val="18"/>
          <w:szCs w:val="18"/>
        </w:rPr>
        <w:drawing>
          <wp:anchor distT="0" distB="0" distL="114300" distR="114300" simplePos="0" relativeHeight="251661312" behindDoc="1" locked="0" layoutInCell="1" allowOverlap="1" wp14:anchorId="34A12B93" wp14:editId="2E0AC7DC">
            <wp:simplePos x="0" y="0"/>
            <wp:positionH relativeFrom="margin">
              <wp:align>left</wp:align>
            </wp:positionH>
            <wp:positionV relativeFrom="paragraph">
              <wp:posOffset>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851794470" name="Picture 1851794470"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418F0687" w14:textId="77777777" w:rsidR="009323F5" w:rsidRPr="00C7059C" w:rsidRDefault="009323F5" w:rsidP="009323F5">
      <w:pPr>
        <w:jc w:val="center"/>
        <w:rPr>
          <w:rFonts w:ascii="Gotham Book" w:hAnsi="Gotham Book"/>
          <w:b/>
          <w:bCs/>
          <w:i/>
          <w:iCs/>
          <w:sz w:val="44"/>
          <w:szCs w:val="40"/>
        </w:rPr>
      </w:pPr>
      <w:r w:rsidRPr="00BC051C">
        <w:rPr>
          <w:rFonts w:ascii="Gotham Book" w:hAnsi="Gotham Book"/>
          <w:sz w:val="44"/>
          <w:szCs w:val="44"/>
          <w:lang w:val="es-MX"/>
        </w:rPr>
        <w:t xml:space="preserve">¿Cómo sabemos lo que sabemos? </w:t>
      </w:r>
      <w:proofErr w:type="spellStart"/>
      <w:r w:rsidRPr="00CB3650">
        <w:rPr>
          <w:rFonts w:ascii="Gotham Book" w:hAnsi="Gotham Book"/>
          <w:b/>
          <w:bCs/>
          <w:i/>
          <w:iCs/>
          <w:sz w:val="52"/>
          <w:szCs w:val="52"/>
        </w:rPr>
        <w:t>Billete</w:t>
      </w:r>
      <w:proofErr w:type="spellEnd"/>
      <w:r w:rsidRPr="00CB3650">
        <w:rPr>
          <w:rFonts w:ascii="Gotham Book" w:hAnsi="Gotham Book"/>
          <w:b/>
          <w:bCs/>
          <w:i/>
          <w:iCs/>
          <w:sz w:val="52"/>
          <w:szCs w:val="52"/>
        </w:rPr>
        <w:t xml:space="preserve"> de </w:t>
      </w:r>
      <w:proofErr w:type="spellStart"/>
      <w:r w:rsidRPr="00CB3650">
        <w:rPr>
          <w:rFonts w:ascii="Gotham Book" w:hAnsi="Gotham Book"/>
          <w:b/>
          <w:bCs/>
          <w:i/>
          <w:iCs/>
          <w:sz w:val="52"/>
          <w:szCs w:val="52"/>
        </w:rPr>
        <w:t>salida</w:t>
      </w:r>
      <w:proofErr w:type="spellEnd"/>
    </w:p>
    <w:p w14:paraId="26FA389E" w14:textId="77777777" w:rsidR="009323F5" w:rsidRPr="00C7059C" w:rsidRDefault="009323F5" w:rsidP="009323F5">
      <w:pPr>
        <w:rPr>
          <w:rFonts w:ascii="Gotham Book" w:hAnsi="Gotham Book"/>
          <w:sz w:val="24"/>
          <w:szCs w:val="24"/>
        </w:rPr>
      </w:pPr>
    </w:p>
    <w:p w14:paraId="685ADB7D" w14:textId="77777777" w:rsidR="009323F5" w:rsidRDefault="009323F5" w:rsidP="009323F5">
      <w:pPr>
        <w:pStyle w:val="ListParagraph"/>
        <w:numPr>
          <w:ilvl w:val="0"/>
          <w:numId w:val="5"/>
        </w:numPr>
      </w:pPr>
      <w:r w:rsidRPr="00BC051C">
        <w:rPr>
          <w:lang w:val="es-MX"/>
        </w:rPr>
        <w:t xml:space="preserve">¿Cuál de las siguientes afirmaciones proporciona información precisa sobre la época de la Guerra Civil en Texas basada en los extractos de fuentes primarias que analizamos hoy? </w:t>
      </w:r>
      <w:r>
        <w:t xml:space="preserve">Rodea o </w:t>
      </w:r>
      <w:proofErr w:type="spellStart"/>
      <w:r>
        <w:t>resalta</w:t>
      </w:r>
      <w:proofErr w:type="spellEnd"/>
      <w:r>
        <w:t xml:space="preserve"> </w:t>
      </w:r>
      <w:r w:rsidRPr="009323F5">
        <w:rPr>
          <w:b/>
          <w:bCs/>
        </w:rPr>
        <w:t>CUATRO</w:t>
      </w:r>
      <w:r>
        <w:t xml:space="preserve">. </w:t>
      </w:r>
    </w:p>
    <w:tbl>
      <w:tblPr>
        <w:tblStyle w:val="TableGrid"/>
        <w:tblW w:w="0" w:type="auto"/>
        <w:tblLook w:val="04A0" w:firstRow="1" w:lastRow="0" w:firstColumn="1" w:lastColumn="0" w:noHBand="0" w:noVBand="1"/>
      </w:tblPr>
      <w:tblGrid>
        <w:gridCol w:w="3596"/>
        <w:gridCol w:w="3597"/>
        <w:gridCol w:w="3597"/>
      </w:tblGrid>
      <w:tr w:rsidR="009323F5" w:rsidRPr="00BC051C" w14:paraId="550C158D" w14:textId="77777777" w:rsidTr="009323F5">
        <w:trPr>
          <w:trHeight w:val="1376"/>
        </w:trPr>
        <w:tc>
          <w:tcPr>
            <w:tcW w:w="3596" w:type="dxa"/>
            <w:vAlign w:val="center"/>
          </w:tcPr>
          <w:p w14:paraId="00A33F4D" w14:textId="77777777" w:rsidR="009323F5" w:rsidRPr="00BC051C" w:rsidRDefault="009323F5" w:rsidP="00CB2B0D">
            <w:pPr>
              <w:jc w:val="center"/>
              <w:rPr>
                <w:rFonts w:ascii="Gotham Book" w:hAnsi="Gotham Book"/>
                <w:sz w:val="24"/>
                <w:szCs w:val="24"/>
                <w:lang w:val="es-MX"/>
              </w:rPr>
            </w:pPr>
            <w:r w:rsidRPr="00BC051C">
              <w:rPr>
                <w:rFonts w:ascii="Gotham Book" w:hAnsi="Gotham Book"/>
                <w:sz w:val="24"/>
                <w:szCs w:val="24"/>
                <w:lang w:val="es-MX"/>
              </w:rPr>
              <w:lastRenderedPageBreak/>
              <w:t>La mayoría de los texanos apoyaban la secesión, aunque algunos, como Sam Houston, apoyaban a la Unión</w:t>
            </w:r>
          </w:p>
        </w:tc>
        <w:tc>
          <w:tcPr>
            <w:tcW w:w="3597" w:type="dxa"/>
            <w:vAlign w:val="center"/>
          </w:tcPr>
          <w:p w14:paraId="11C02E3D" w14:textId="77777777" w:rsidR="009323F5" w:rsidRPr="00BC051C" w:rsidRDefault="009323F5" w:rsidP="00CB2B0D">
            <w:pPr>
              <w:jc w:val="center"/>
              <w:rPr>
                <w:rFonts w:ascii="Gotham Book" w:hAnsi="Gotham Book"/>
                <w:sz w:val="24"/>
                <w:szCs w:val="24"/>
                <w:lang w:val="es-MX"/>
              </w:rPr>
            </w:pPr>
            <w:r w:rsidRPr="00BC051C">
              <w:rPr>
                <w:rFonts w:ascii="Gotham Book" w:hAnsi="Gotham Book"/>
                <w:sz w:val="24"/>
                <w:szCs w:val="24"/>
                <w:lang w:val="es-MX"/>
              </w:rPr>
              <w:t>La causa principal de la Guerra Civil entre el Norte y el Sur fue la cuestión de la esclavitud.</w:t>
            </w:r>
          </w:p>
        </w:tc>
        <w:tc>
          <w:tcPr>
            <w:tcW w:w="3597" w:type="dxa"/>
            <w:vAlign w:val="center"/>
          </w:tcPr>
          <w:p w14:paraId="14BA95A8" w14:textId="77777777" w:rsidR="009323F5" w:rsidRPr="00BC051C" w:rsidRDefault="009323F5" w:rsidP="00CB2B0D">
            <w:pPr>
              <w:jc w:val="center"/>
              <w:rPr>
                <w:rFonts w:ascii="Gotham Book" w:hAnsi="Gotham Book"/>
                <w:sz w:val="24"/>
                <w:szCs w:val="24"/>
                <w:lang w:val="es-MX"/>
              </w:rPr>
            </w:pPr>
            <w:r w:rsidRPr="00BC051C">
              <w:rPr>
                <w:rFonts w:ascii="Gotham Book" w:hAnsi="Gotham Book"/>
                <w:sz w:val="24"/>
                <w:szCs w:val="24"/>
                <w:lang w:val="es-MX"/>
              </w:rPr>
              <w:t>Los texanos que no lucharon en la guerra ayudaron comerciando a través de México y proporcionando suministros.</w:t>
            </w:r>
          </w:p>
        </w:tc>
      </w:tr>
      <w:tr w:rsidR="009323F5" w:rsidRPr="00BC051C" w14:paraId="3AEAAE18" w14:textId="77777777" w:rsidTr="009323F5">
        <w:trPr>
          <w:trHeight w:val="1349"/>
        </w:trPr>
        <w:tc>
          <w:tcPr>
            <w:tcW w:w="3596" w:type="dxa"/>
            <w:vAlign w:val="center"/>
          </w:tcPr>
          <w:p w14:paraId="4BA3974E" w14:textId="77777777" w:rsidR="009323F5" w:rsidRPr="00BC051C" w:rsidRDefault="009323F5" w:rsidP="00CB2B0D">
            <w:pPr>
              <w:jc w:val="center"/>
              <w:rPr>
                <w:rFonts w:ascii="Gotham Book" w:hAnsi="Gotham Book"/>
                <w:sz w:val="24"/>
                <w:szCs w:val="24"/>
                <w:lang w:val="es-MX"/>
              </w:rPr>
            </w:pPr>
            <w:r w:rsidRPr="00BC051C">
              <w:rPr>
                <w:rFonts w:ascii="Gotham Book" w:hAnsi="Gotham Book"/>
                <w:sz w:val="24"/>
                <w:szCs w:val="24"/>
                <w:lang w:val="es-MX"/>
              </w:rPr>
              <w:t>La guerra afectó a afroamericanos y mujeres, así como a soldados del ejército.</w:t>
            </w:r>
          </w:p>
        </w:tc>
        <w:tc>
          <w:tcPr>
            <w:tcW w:w="3597" w:type="dxa"/>
            <w:vAlign w:val="center"/>
          </w:tcPr>
          <w:p w14:paraId="5DF05BA8" w14:textId="77777777" w:rsidR="009323F5" w:rsidRPr="00BC051C" w:rsidRDefault="009323F5" w:rsidP="00CB2B0D">
            <w:pPr>
              <w:jc w:val="center"/>
              <w:rPr>
                <w:rFonts w:ascii="Gotham Book" w:hAnsi="Gotham Book"/>
                <w:sz w:val="24"/>
                <w:szCs w:val="24"/>
                <w:lang w:val="es-MX"/>
              </w:rPr>
            </w:pPr>
            <w:r w:rsidRPr="00BC051C">
              <w:rPr>
                <w:rFonts w:ascii="Gotham Book" w:hAnsi="Gotham Book"/>
                <w:sz w:val="24"/>
                <w:szCs w:val="24"/>
                <w:lang w:val="es-MX"/>
              </w:rPr>
              <w:t>El conflicto con México impidió que los texanos pudieran comerciar con éxito sus productos.</w:t>
            </w:r>
          </w:p>
        </w:tc>
        <w:tc>
          <w:tcPr>
            <w:tcW w:w="3597" w:type="dxa"/>
            <w:vAlign w:val="center"/>
          </w:tcPr>
          <w:p w14:paraId="68F93171" w14:textId="77777777" w:rsidR="009323F5" w:rsidRPr="00BC051C" w:rsidRDefault="009323F5" w:rsidP="00CB2B0D">
            <w:pPr>
              <w:jc w:val="center"/>
              <w:rPr>
                <w:rFonts w:ascii="Gotham Book" w:hAnsi="Gotham Book"/>
                <w:sz w:val="24"/>
                <w:szCs w:val="24"/>
                <w:lang w:val="es-MX"/>
              </w:rPr>
            </w:pPr>
            <w:r w:rsidRPr="00BC051C">
              <w:rPr>
                <w:rFonts w:ascii="Gotham Book" w:hAnsi="Gotham Book"/>
                <w:sz w:val="24"/>
                <w:szCs w:val="24"/>
                <w:lang w:val="es-MX"/>
              </w:rPr>
              <w:t>La mayoría de los texanos permanecieron neutrales durante el conflicto, prefiriendo evitar la violencia de la guerra.</w:t>
            </w:r>
          </w:p>
        </w:tc>
      </w:tr>
    </w:tbl>
    <w:p w14:paraId="254A80E4" w14:textId="42D61ABB" w:rsidR="009323F5" w:rsidRPr="00BC051C" w:rsidRDefault="009323F5" w:rsidP="009323F5">
      <w:pPr>
        <w:rPr>
          <w:lang w:val="es-MX"/>
        </w:rPr>
      </w:pPr>
    </w:p>
    <w:sectPr w:rsidR="009323F5" w:rsidRPr="00BC051C" w:rsidSect="000A09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0FF"/>
    <w:multiLevelType w:val="hybridMultilevel"/>
    <w:tmpl w:val="1B6685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860A79"/>
    <w:multiLevelType w:val="hybridMultilevel"/>
    <w:tmpl w:val="BC4C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47503D"/>
    <w:multiLevelType w:val="hybridMultilevel"/>
    <w:tmpl w:val="54220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6E20D1"/>
    <w:multiLevelType w:val="hybridMultilevel"/>
    <w:tmpl w:val="1B668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7622E0"/>
    <w:multiLevelType w:val="hybridMultilevel"/>
    <w:tmpl w:val="AEFEDDC4"/>
    <w:lvl w:ilvl="0" w:tplc="5528371C">
      <w:start w:val="1"/>
      <w:numFmt w:val="bullet"/>
      <w:lvlText w:val="-"/>
      <w:lvlJc w:val="left"/>
      <w:pPr>
        <w:ind w:left="720" w:hanging="360"/>
      </w:pPr>
      <w:rPr>
        <w:rFonts w:ascii="Gotham Book" w:eastAsiaTheme="minorEastAsia"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5627805">
    <w:abstractNumId w:val="4"/>
  </w:num>
  <w:num w:numId="2" w16cid:durableId="1814056555">
    <w:abstractNumId w:val="2"/>
  </w:num>
  <w:num w:numId="3" w16cid:durableId="1933734841">
    <w:abstractNumId w:val="1"/>
  </w:num>
  <w:num w:numId="4" w16cid:durableId="1305962759">
    <w:abstractNumId w:val="3"/>
  </w:num>
  <w:num w:numId="5" w16cid:durableId="1954633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CB8"/>
    <w:rsid w:val="00084CC8"/>
    <w:rsid w:val="000A0919"/>
    <w:rsid w:val="001B4B2F"/>
    <w:rsid w:val="004F5CB8"/>
    <w:rsid w:val="0065438C"/>
    <w:rsid w:val="007E6912"/>
    <w:rsid w:val="009323F5"/>
    <w:rsid w:val="00963012"/>
    <w:rsid w:val="009B7378"/>
    <w:rsid w:val="009F7AC1"/>
    <w:rsid w:val="00B172AB"/>
    <w:rsid w:val="00BC051C"/>
    <w:rsid w:val="00BD507D"/>
    <w:rsid w:val="00C07B6B"/>
    <w:rsid w:val="00CB3650"/>
    <w:rsid w:val="00D31850"/>
    <w:rsid w:val="00E63717"/>
    <w:rsid w:val="00F0566A"/>
    <w:rsid w:val="00F36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7FAA8"/>
  <w15:chartTrackingRefBased/>
  <w15:docId w15:val="{A1B0AD73-BC3F-496F-ABAF-4BD32846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919"/>
    <w:pPr>
      <w:spacing w:after="120" w:line="264" w:lineRule="auto"/>
    </w:pPr>
    <w:rPr>
      <w:rFonts w:asciiTheme="minorHAnsi" w:eastAsiaTheme="minorEastAsia" w:hAnsiTheme="minorHAnsi"/>
      <w:kern w:val="0"/>
      <w:sz w:val="20"/>
      <w:szCs w:val="20"/>
      <w14:ligatures w14:val="none"/>
    </w:rPr>
  </w:style>
  <w:style w:type="paragraph" w:styleId="Heading1">
    <w:name w:val="heading 1"/>
    <w:basedOn w:val="Normal"/>
    <w:next w:val="Normal"/>
    <w:link w:val="Heading1Char"/>
    <w:uiPriority w:val="9"/>
    <w:qFormat/>
    <w:rsid w:val="004F5CB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5CB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5CB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5CB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F5CB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F5CB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F5CB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F5CB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F5CB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C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C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F5C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F5C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F5C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F5C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F5C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F5CB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5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CB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5C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F5CB8"/>
    <w:pPr>
      <w:spacing w:before="160" w:after="160" w:line="278" w:lineRule="auto"/>
      <w:jc w:val="center"/>
    </w:pPr>
    <w:rPr>
      <w:rFonts w:ascii="Gotham Book" w:eastAsiaTheme="minorHAnsi" w:hAnsi="Gotham Book"/>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F5CB8"/>
    <w:rPr>
      <w:i/>
      <w:iCs/>
      <w:color w:val="404040" w:themeColor="text1" w:themeTint="BF"/>
    </w:rPr>
  </w:style>
  <w:style w:type="paragraph" w:styleId="ListParagraph">
    <w:name w:val="List Paragraph"/>
    <w:basedOn w:val="Normal"/>
    <w:uiPriority w:val="34"/>
    <w:qFormat/>
    <w:rsid w:val="004F5CB8"/>
    <w:pPr>
      <w:spacing w:after="160" w:line="278" w:lineRule="auto"/>
      <w:ind w:left="720"/>
      <w:contextualSpacing/>
    </w:pPr>
    <w:rPr>
      <w:rFonts w:ascii="Gotham Book" w:eastAsiaTheme="minorHAnsi" w:hAnsi="Gotham Book"/>
      <w:kern w:val="2"/>
      <w:sz w:val="24"/>
      <w:szCs w:val="24"/>
      <w14:ligatures w14:val="standardContextual"/>
    </w:rPr>
  </w:style>
  <w:style w:type="character" w:styleId="IntenseEmphasis">
    <w:name w:val="Intense Emphasis"/>
    <w:basedOn w:val="DefaultParagraphFont"/>
    <w:uiPriority w:val="21"/>
    <w:qFormat/>
    <w:rsid w:val="004F5CB8"/>
    <w:rPr>
      <w:i/>
      <w:iCs/>
      <w:color w:val="0F4761" w:themeColor="accent1" w:themeShade="BF"/>
    </w:rPr>
  </w:style>
  <w:style w:type="paragraph" w:styleId="IntenseQuote">
    <w:name w:val="Intense Quote"/>
    <w:basedOn w:val="Normal"/>
    <w:next w:val="Normal"/>
    <w:link w:val="IntenseQuoteChar"/>
    <w:uiPriority w:val="30"/>
    <w:qFormat/>
    <w:rsid w:val="004F5CB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Gotham Book" w:eastAsiaTheme="minorHAnsi" w:hAnsi="Gotham Book"/>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F5CB8"/>
    <w:rPr>
      <w:i/>
      <w:iCs/>
      <w:color w:val="0F4761" w:themeColor="accent1" w:themeShade="BF"/>
    </w:rPr>
  </w:style>
  <w:style w:type="character" w:styleId="IntenseReference">
    <w:name w:val="Intense Reference"/>
    <w:basedOn w:val="DefaultParagraphFont"/>
    <w:uiPriority w:val="32"/>
    <w:qFormat/>
    <w:rsid w:val="004F5CB8"/>
    <w:rPr>
      <w:b/>
      <w:bCs/>
      <w:smallCaps/>
      <w:color w:val="0F4761" w:themeColor="accent1" w:themeShade="BF"/>
      <w:spacing w:val="5"/>
    </w:rPr>
  </w:style>
  <w:style w:type="table" w:styleId="TableGrid">
    <w:name w:val="Table Grid"/>
    <w:basedOn w:val="TableNormal"/>
    <w:uiPriority w:val="39"/>
    <w:rsid w:val="000A091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05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DA5E28-4783-42A8-96C5-E18C9E029FBB}">
  <ds:schemaRefs>
    <ds:schemaRef ds:uri="http://schemas.microsoft.com/sharepoint/v3/contenttype/forms"/>
  </ds:schemaRefs>
</ds:datastoreItem>
</file>

<file path=customXml/itemProps2.xml><?xml version="1.0" encoding="utf-8"?>
<ds:datastoreItem xmlns:ds="http://schemas.openxmlformats.org/officeDocument/2006/customXml" ds:itemID="{65404395-5DCA-474A-9B85-1F06BBB00D6E}">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B30F3491-3005-454D-A34B-AF7483348BE2}"/>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3</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2025-08-15T16:54:00Z</dcterms:created>
  <dcterms:modified xsi:type="dcterms:W3CDTF">2026-02-16T23:11:00Z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