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21DEB" w14:textId="544A805C" w:rsidR="0086255D" w:rsidRPr="00CC0A05" w:rsidRDefault="0042206B" w:rsidP="0086255D">
      <w:pPr>
        <w:spacing w:after="0"/>
        <w:jc w:val="center"/>
        <w:rPr>
          <w:rStyle w:val="Strong"/>
          <w:rFonts w:ascii="Gotham Book" w:hAnsi="Gotham Book"/>
          <w:i/>
          <w:iCs/>
          <w:color w:val="747474" w:themeColor="background2" w:themeShade="80"/>
          <w:sz w:val="32"/>
          <w:szCs w:val="22"/>
          <w:lang w:val="es-MX"/>
        </w:rPr>
      </w:pPr>
      <w:bookmarkStart w:id="0" w:name="_Hlk215045842"/>
      <w:bookmarkStart w:id="1" w:name="_Hlk181959139"/>
      <w:bookmarkStart w:id="2" w:name="_Hlk185500731"/>
      <w:r w:rsidRPr="00CC0A05">
        <w:rPr>
          <w:rStyle w:val="Strong"/>
          <w:rFonts w:ascii="Gotham Book" w:hAnsi="Gotham Book"/>
          <w:b w:val="0"/>
          <w:bCs w:val="0"/>
          <w:color w:val="000000" w:themeColor="text1"/>
          <w:sz w:val="48"/>
          <w:szCs w:val="18"/>
          <w:lang w:val="es-MX"/>
        </w:rPr>
        <w:t xml:space="preserve">Guerras Fronterizas </w:t>
      </w:r>
      <w:r w:rsidR="0086255D" w:rsidRPr="00CC0A05">
        <w:rPr>
          <w:rStyle w:val="Strong"/>
          <w:rFonts w:ascii="Gotham Book" w:hAnsi="Gotham Book"/>
          <w:i/>
          <w:iCs/>
          <w:color w:val="747474" w:themeColor="background2" w:themeShade="80"/>
          <w:sz w:val="44"/>
          <w:szCs w:val="44"/>
          <w:lang w:val="es-MX"/>
        </w:rPr>
        <w:t>Avanzadas</w:t>
      </w:r>
    </w:p>
    <w:p w14:paraId="71E284A1" w14:textId="5DC85A0E" w:rsidR="0086255D" w:rsidRPr="00CC0A05" w:rsidRDefault="0086255D" w:rsidP="0086255D">
      <w:pPr>
        <w:spacing w:after="0" w:line="240" w:lineRule="auto"/>
        <w:jc w:val="center"/>
        <w:rPr>
          <w:rFonts w:ascii="Gotham Book" w:hAnsi="Gotham Book"/>
          <w:i/>
          <w:iCs/>
          <w:color w:val="595959" w:themeColor="text1" w:themeTint="A6"/>
          <w:sz w:val="34"/>
          <w:szCs w:val="44"/>
          <w:lang w:val="es-MX"/>
        </w:rPr>
      </w:pPr>
      <w:r w:rsidRPr="00CC0A05">
        <w:rPr>
          <w:rFonts w:ascii="Gotham Book" w:hAnsi="Gotham Book"/>
          <w:i/>
          <w:iCs/>
          <w:color w:val="595959" w:themeColor="text1" w:themeTint="A6"/>
          <w:sz w:val="34"/>
          <w:szCs w:val="44"/>
          <w:lang w:val="es-MX"/>
        </w:rPr>
        <w:t xml:space="preserve">Unidad 10: Algodón, ganado y ferrocarriles  </w:t>
      </w:r>
    </w:p>
    <w:p w14:paraId="1A07008A" w14:textId="77777777" w:rsidR="0086255D" w:rsidRPr="00CC0A05" w:rsidRDefault="0086255D" w:rsidP="0086255D">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86255D" w:rsidRPr="008D7B34" w14:paraId="6F72CDF6" w14:textId="77777777" w:rsidTr="0005434C">
        <w:trPr>
          <w:trHeight w:val="511"/>
        </w:trPr>
        <w:tc>
          <w:tcPr>
            <w:tcW w:w="1023" w:type="dxa"/>
            <w:tcBorders>
              <w:top w:val="nil"/>
              <w:left w:val="nil"/>
              <w:bottom w:val="nil"/>
              <w:right w:val="single" w:sz="4" w:space="0" w:color="auto"/>
            </w:tcBorders>
            <w:vAlign w:val="bottom"/>
          </w:tcPr>
          <w:p w14:paraId="19AC75D8" w14:textId="77777777" w:rsidR="0086255D" w:rsidRPr="008D7B34" w:rsidRDefault="0086255D" w:rsidP="0005434C">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08318C6E" w14:textId="77777777" w:rsidR="0086255D" w:rsidRPr="008D7B34" w:rsidRDefault="0086255D" w:rsidP="0005434C">
            <w:pPr>
              <w:rPr>
                <w:rFonts w:ascii="Gotham Book" w:hAnsi="Gotham Book"/>
              </w:rPr>
            </w:pPr>
          </w:p>
        </w:tc>
        <w:tc>
          <w:tcPr>
            <w:tcW w:w="875" w:type="dxa"/>
            <w:tcBorders>
              <w:top w:val="nil"/>
              <w:left w:val="single" w:sz="4" w:space="0" w:color="auto"/>
              <w:bottom w:val="nil"/>
              <w:right w:val="single" w:sz="4" w:space="0" w:color="auto"/>
            </w:tcBorders>
            <w:vAlign w:val="bottom"/>
          </w:tcPr>
          <w:p w14:paraId="6FE50AD6" w14:textId="77777777" w:rsidR="0086255D" w:rsidRPr="008D7B34" w:rsidRDefault="0086255D" w:rsidP="0005434C">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40DD9A65" w14:textId="77777777" w:rsidR="0086255D" w:rsidRPr="008D7B34" w:rsidRDefault="0086255D" w:rsidP="0005434C">
            <w:pPr>
              <w:rPr>
                <w:rFonts w:ascii="Gotham Book" w:hAnsi="Gotham Book"/>
              </w:rPr>
            </w:pPr>
          </w:p>
        </w:tc>
        <w:tc>
          <w:tcPr>
            <w:tcW w:w="1071" w:type="dxa"/>
            <w:tcBorders>
              <w:top w:val="nil"/>
              <w:left w:val="single" w:sz="4" w:space="0" w:color="auto"/>
              <w:bottom w:val="nil"/>
              <w:right w:val="single" w:sz="4" w:space="0" w:color="auto"/>
            </w:tcBorders>
            <w:vAlign w:val="bottom"/>
          </w:tcPr>
          <w:p w14:paraId="1078E8D7" w14:textId="77777777" w:rsidR="0086255D" w:rsidRPr="008D7B34" w:rsidRDefault="0086255D" w:rsidP="0005434C">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98932E9" w14:textId="77777777" w:rsidR="0086255D" w:rsidRPr="008D7B34" w:rsidRDefault="0086255D" w:rsidP="0005434C">
            <w:pPr>
              <w:rPr>
                <w:rFonts w:ascii="Gotham Book" w:hAnsi="Gotham Book"/>
              </w:rPr>
            </w:pPr>
          </w:p>
        </w:tc>
      </w:tr>
      <w:bookmarkEnd w:id="0"/>
    </w:tbl>
    <w:p w14:paraId="225454D9" w14:textId="77777777" w:rsidR="0086255D" w:rsidRPr="007471E4" w:rsidRDefault="0086255D" w:rsidP="0086255D">
      <w:pPr>
        <w:rPr>
          <w:sz w:val="14"/>
          <w:szCs w:val="14"/>
        </w:rPr>
      </w:pPr>
    </w:p>
    <w:tbl>
      <w:tblPr>
        <w:tblStyle w:val="TableGrid"/>
        <w:tblW w:w="0" w:type="auto"/>
        <w:tblLook w:val="04A0" w:firstRow="1" w:lastRow="0" w:firstColumn="1" w:lastColumn="0" w:noHBand="0" w:noVBand="1"/>
      </w:tblPr>
      <w:tblGrid>
        <w:gridCol w:w="9350"/>
      </w:tblGrid>
      <w:tr w:rsidR="0042206B" w:rsidRPr="00CC0A05" w14:paraId="185F74C7" w14:textId="77777777" w:rsidTr="007471E4">
        <w:trPr>
          <w:trHeight w:val="512"/>
        </w:trPr>
        <w:tc>
          <w:tcPr>
            <w:tcW w:w="9350" w:type="dxa"/>
            <w:shd w:val="clear" w:color="auto" w:fill="D9D9D9" w:themeFill="background1" w:themeFillShade="D9"/>
            <w:vAlign w:val="center"/>
          </w:tcPr>
          <w:p w14:paraId="173CF3BE" w14:textId="1A9E00B7" w:rsidR="0042206B" w:rsidRPr="00CC0A05" w:rsidRDefault="0042206B" w:rsidP="007471E4">
            <w:pPr>
              <w:jc w:val="center"/>
              <w:rPr>
                <w:rFonts w:ascii="Gotham Book" w:hAnsi="Gotham Book"/>
                <w:b/>
                <w:bCs/>
                <w:sz w:val="28"/>
                <w:szCs w:val="32"/>
                <w:lang w:val="es-MX"/>
              </w:rPr>
            </w:pPr>
            <w:r w:rsidRPr="00CC0A05">
              <w:rPr>
                <w:rFonts w:ascii="Gotham Book" w:hAnsi="Gotham Book"/>
                <w:b/>
                <w:bCs/>
                <w:sz w:val="28"/>
                <w:szCs w:val="32"/>
                <w:lang w:val="es-MX"/>
              </w:rPr>
              <w:t xml:space="preserve">La Guerra Civil y la Frontera Occidental de Texas, </w:t>
            </w:r>
            <w:r w:rsidR="00A725B4" w:rsidRPr="00CC0A05">
              <w:rPr>
                <w:rFonts w:ascii="Gotham Book" w:hAnsi="Gotham Book"/>
                <w:b/>
                <w:bCs/>
                <w:color w:val="404040" w:themeColor="text1" w:themeTint="BF"/>
                <w:sz w:val="28"/>
                <w:szCs w:val="32"/>
                <w:lang w:val="es-MX"/>
              </w:rPr>
              <w:t xml:space="preserve">1861 – 1865 </w:t>
            </w:r>
          </w:p>
        </w:tc>
      </w:tr>
    </w:tbl>
    <w:p w14:paraId="1BDE044B" w14:textId="77777777" w:rsidR="0042206B" w:rsidRPr="00CC0A05" w:rsidRDefault="0042206B" w:rsidP="0086255D">
      <w:pPr>
        <w:rPr>
          <w:sz w:val="2"/>
          <w:szCs w:val="2"/>
          <w:lang w:val="es-MX"/>
        </w:rPr>
      </w:pPr>
    </w:p>
    <w:bookmarkEnd w:id="1"/>
    <w:bookmarkEnd w:id="2"/>
    <w:tbl>
      <w:tblPr>
        <w:tblStyle w:val="TableGrid"/>
        <w:tblW w:w="0" w:type="auto"/>
        <w:tblLook w:val="04A0" w:firstRow="1" w:lastRow="0" w:firstColumn="1" w:lastColumn="0" w:noHBand="0" w:noVBand="1"/>
      </w:tblPr>
      <w:tblGrid>
        <w:gridCol w:w="5755"/>
        <w:gridCol w:w="3595"/>
      </w:tblGrid>
      <w:tr w:rsidR="0042206B" w:rsidRPr="00CC0A05" w14:paraId="158037D2" w14:textId="00DEC412" w:rsidTr="0051226C">
        <w:tc>
          <w:tcPr>
            <w:tcW w:w="5755" w:type="dxa"/>
          </w:tcPr>
          <w:p w14:paraId="04773383" w14:textId="77777777" w:rsidR="0042206B" w:rsidRPr="00CC0A05" w:rsidRDefault="0042206B">
            <w:pPr>
              <w:rPr>
                <w:rFonts w:ascii="Gotham Book" w:hAnsi="Gotham Book"/>
                <w:sz w:val="12"/>
                <w:szCs w:val="12"/>
                <w:lang w:val="es-MX"/>
              </w:rPr>
            </w:pPr>
          </w:p>
          <w:p w14:paraId="73B0E547" w14:textId="3F7E413A" w:rsidR="0042206B" w:rsidRPr="00CC0A05" w:rsidRDefault="0042206B">
            <w:pPr>
              <w:rPr>
                <w:rFonts w:ascii="Gotham Book" w:hAnsi="Gotham Book"/>
                <w:lang w:val="es-MX"/>
              </w:rPr>
            </w:pPr>
            <w:r w:rsidRPr="00CC0A05">
              <w:rPr>
                <w:rFonts w:ascii="Gotham Book" w:hAnsi="Gotham Book"/>
                <w:lang w:val="es-MX"/>
              </w:rPr>
              <w:t xml:space="preserve">Cuando comenzó la Guerra Civil en 1861, las tropas del ejército estadounidense estacionadas en fuertes a lo largo de la frontera oeste de Texas fueron retiradas del estado. Durante toda la guerra, el gobierno estatal de Texas luchó por defender la frontera, enviando Rangers y voluntarios para defenderse de las incursiones de tribus a lo largo de las Grandes Llanuras.   </w:t>
            </w:r>
          </w:p>
          <w:p w14:paraId="3B66950C" w14:textId="77777777" w:rsidR="0042206B" w:rsidRPr="00CC0A05" w:rsidRDefault="0042206B">
            <w:pPr>
              <w:rPr>
                <w:rFonts w:ascii="Gotham Book" w:hAnsi="Gotham Book"/>
                <w:sz w:val="16"/>
                <w:szCs w:val="16"/>
                <w:lang w:val="es-MX"/>
              </w:rPr>
            </w:pPr>
          </w:p>
          <w:p w14:paraId="785987A4" w14:textId="2CDD4672" w:rsidR="0042206B" w:rsidRPr="00CC0A05" w:rsidRDefault="0042206B">
            <w:pPr>
              <w:rPr>
                <w:rFonts w:ascii="Gotham Book" w:hAnsi="Gotham Book"/>
                <w:lang w:val="es-MX"/>
              </w:rPr>
            </w:pPr>
            <w:r w:rsidRPr="00CC0A05">
              <w:rPr>
                <w:rFonts w:ascii="Gotham Book" w:hAnsi="Gotham Book"/>
                <w:lang w:val="es-MX"/>
              </w:rPr>
              <w:t>Cuando terminó la Guerra Civil en 1865, la mayoría de los voluntarios texanos enviados a proteger la frontera regresaron a casa, y el ejército de Estados Unidos comenzó gradualmente a reocupar los fuertes occidentales de Texas.</w:t>
            </w:r>
          </w:p>
          <w:p w14:paraId="5B993BF1" w14:textId="77777777" w:rsidR="0042206B" w:rsidRPr="00CC0A05" w:rsidRDefault="0042206B">
            <w:pPr>
              <w:rPr>
                <w:rFonts w:ascii="Gotham Book" w:hAnsi="Gotham Book"/>
                <w:sz w:val="16"/>
                <w:szCs w:val="16"/>
                <w:lang w:val="es-MX"/>
              </w:rPr>
            </w:pPr>
          </w:p>
          <w:p w14:paraId="59D68384" w14:textId="5F80C2AB" w:rsidR="0042206B" w:rsidRPr="00CC0A05" w:rsidRDefault="0042206B">
            <w:pPr>
              <w:rPr>
                <w:rFonts w:ascii="Gotham Book" w:hAnsi="Gotham Book"/>
                <w:lang w:val="es-MX"/>
              </w:rPr>
            </w:pPr>
            <w:r w:rsidRPr="00CC0A05">
              <w:rPr>
                <w:rFonts w:ascii="Gotham Book" w:hAnsi="Gotham Book"/>
                <w:lang w:val="es-MX"/>
              </w:rPr>
              <w:t>Ante la ausencia de una fuerte presencia militar a lo largo de la frontera, los indios comanches y kiowa llevaron a cabo numerosas incursiones mortales contra los asentamientos fronterizos.</w:t>
            </w:r>
          </w:p>
        </w:tc>
        <w:tc>
          <w:tcPr>
            <w:tcW w:w="3595" w:type="dxa"/>
            <w:tcBorders>
              <w:top w:val="nil"/>
              <w:bottom w:val="nil"/>
              <w:right w:val="nil"/>
            </w:tcBorders>
          </w:tcPr>
          <w:p w14:paraId="7D14985D" w14:textId="23F6230F" w:rsidR="0042206B" w:rsidRPr="00CC0A05" w:rsidRDefault="007471E4" w:rsidP="007471E4">
            <w:pPr>
              <w:pStyle w:val="ListParagraph"/>
              <w:numPr>
                <w:ilvl w:val="0"/>
                <w:numId w:val="1"/>
              </w:numPr>
              <w:rPr>
                <w:lang w:val="es-MX"/>
              </w:rPr>
            </w:pPr>
            <w:r w:rsidRPr="00CC0A05">
              <w:rPr>
                <w:lang w:val="es-MX"/>
              </w:rPr>
              <w:t xml:space="preserve">¿Cómo se vio afectada la frontera oeste de Texas por el estallido y el fin de la Guerra Civil? </w:t>
            </w:r>
          </w:p>
        </w:tc>
      </w:tr>
    </w:tbl>
    <w:p w14:paraId="1B5141EE" w14:textId="77777777" w:rsidR="0065438C" w:rsidRPr="00CC0A05" w:rsidRDefault="0065438C">
      <w:pPr>
        <w:rPr>
          <w:sz w:val="6"/>
          <w:szCs w:val="6"/>
          <w:lang w:val="es-MX"/>
        </w:rPr>
      </w:pPr>
    </w:p>
    <w:tbl>
      <w:tblPr>
        <w:tblStyle w:val="TableGrid"/>
        <w:tblW w:w="0" w:type="auto"/>
        <w:tblLook w:val="04A0" w:firstRow="1" w:lastRow="0" w:firstColumn="1" w:lastColumn="0" w:noHBand="0" w:noVBand="1"/>
      </w:tblPr>
      <w:tblGrid>
        <w:gridCol w:w="9350"/>
      </w:tblGrid>
      <w:tr w:rsidR="007471E4" w:rsidRPr="00CC0A05" w14:paraId="732902E1" w14:textId="77777777" w:rsidTr="00C15E2F">
        <w:trPr>
          <w:trHeight w:val="512"/>
        </w:trPr>
        <w:tc>
          <w:tcPr>
            <w:tcW w:w="9350" w:type="dxa"/>
            <w:shd w:val="clear" w:color="auto" w:fill="D9D9D9" w:themeFill="background1" w:themeFillShade="D9"/>
            <w:vAlign w:val="center"/>
          </w:tcPr>
          <w:p w14:paraId="7CD42F56" w14:textId="4FC5ED29" w:rsidR="007471E4" w:rsidRPr="00CC0A05" w:rsidRDefault="007471E4" w:rsidP="00C15E2F">
            <w:pPr>
              <w:jc w:val="center"/>
              <w:rPr>
                <w:rFonts w:ascii="Gotham Book" w:hAnsi="Gotham Book"/>
                <w:b/>
                <w:bCs/>
                <w:sz w:val="28"/>
                <w:szCs w:val="32"/>
                <w:lang w:val="es-MX"/>
              </w:rPr>
            </w:pPr>
            <w:r w:rsidRPr="00CC0A05">
              <w:rPr>
                <w:rFonts w:ascii="Gotham Book" w:hAnsi="Gotham Book"/>
                <w:b/>
                <w:bCs/>
                <w:sz w:val="28"/>
                <w:szCs w:val="32"/>
                <w:lang w:val="es-MX"/>
              </w:rPr>
              <w:t xml:space="preserve">El Tratado de la Logia Medicina, </w:t>
            </w:r>
            <w:r w:rsidR="00A725B4" w:rsidRPr="00CC0A05">
              <w:rPr>
                <w:rFonts w:ascii="Gotham Book" w:hAnsi="Gotham Book"/>
                <w:b/>
                <w:bCs/>
                <w:color w:val="404040" w:themeColor="text1" w:themeTint="BF"/>
                <w:sz w:val="28"/>
                <w:szCs w:val="32"/>
                <w:lang w:val="es-MX"/>
              </w:rPr>
              <w:t>octubre de 1867</w:t>
            </w:r>
          </w:p>
        </w:tc>
      </w:tr>
    </w:tbl>
    <w:p w14:paraId="14222438" w14:textId="77777777" w:rsidR="007471E4" w:rsidRPr="00CC0A05" w:rsidRDefault="007471E4">
      <w:pPr>
        <w:rPr>
          <w:sz w:val="2"/>
          <w:szCs w:val="2"/>
          <w:lang w:val="es-MX"/>
        </w:rPr>
      </w:pPr>
    </w:p>
    <w:tbl>
      <w:tblPr>
        <w:tblStyle w:val="TableGrid"/>
        <w:tblW w:w="0" w:type="auto"/>
        <w:tblLook w:val="04A0" w:firstRow="1" w:lastRow="0" w:firstColumn="1" w:lastColumn="0" w:noHBand="0" w:noVBand="1"/>
      </w:tblPr>
      <w:tblGrid>
        <w:gridCol w:w="5575"/>
        <w:gridCol w:w="3775"/>
      </w:tblGrid>
      <w:tr w:rsidR="0051226C" w:rsidRPr="00CC0A05" w14:paraId="62AC3EE5" w14:textId="77777777" w:rsidTr="00935F4C">
        <w:tc>
          <w:tcPr>
            <w:tcW w:w="5575" w:type="dxa"/>
          </w:tcPr>
          <w:p w14:paraId="1FB3A87F" w14:textId="77777777" w:rsidR="0051226C" w:rsidRPr="00CC0A05" w:rsidRDefault="0051226C" w:rsidP="0051226C">
            <w:pPr>
              <w:rPr>
                <w:rFonts w:ascii="Gotham Book" w:hAnsi="Gotham Book"/>
                <w:lang w:val="es-MX"/>
              </w:rPr>
            </w:pPr>
            <w:r w:rsidRPr="00CC0A05">
              <w:rPr>
                <w:rFonts w:ascii="Gotham Book" w:hAnsi="Gotham Book"/>
                <w:lang w:val="es-MX"/>
              </w:rPr>
              <w:t xml:space="preserve">En respuesta a las continuas incursiones indígenas a lo largo de la frontera de Texas y en otros lugares de las Grandes Llanuras, el gobierno federal se reunió con representantes de las tribus comanche, kiowa, apache, cheyenne y arapaho en octubre de 1867, en Medicine Lodge Creek, Kansas, para negociar un acuerdo de paz. </w:t>
            </w:r>
          </w:p>
          <w:p w14:paraId="4A53E541" w14:textId="77777777" w:rsidR="0051226C" w:rsidRPr="00CC0A05" w:rsidRDefault="0051226C" w:rsidP="0051226C">
            <w:pPr>
              <w:rPr>
                <w:rFonts w:ascii="Gotham Book" w:hAnsi="Gotham Book"/>
                <w:sz w:val="16"/>
                <w:szCs w:val="16"/>
                <w:lang w:val="es-MX"/>
              </w:rPr>
            </w:pPr>
          </w:p>
          <w:p w14:paraId="0F8ED5A5" w14:textId="77777777" w:rsidR="0051226C" w:rsidRPr="00CC0A05" w:rsidRDefault="0051226C" w:rsidP="0051226C">
            <w:pPr>
              <w:rPr>
                <w:rFonts w:ascii="Gotham Book" w:hAnsi="Gotham Book"/>
                <w:lang w:val="es-MX"/>
              </w:rPr>
            </w:pPr>
            <w:r w:rsidRPr="00CC0A05">
              <w:rPr>
                <w:rFonts w:ascii="Gotham Book" w:hAnsi="Gotham Book"/>
                <w:lang w:val="es-MX"/>
              </w:rPr>
              <w:t xml:space="preserve">El gobierno de Estados Unidos firmó el Tratado de la Logia Medicinal con las tribus reunidas. Las tribus que firmaron aceptaron renunciar a sus reclamaciones sobre las Grandes Llanuras y vivir en </w:t>
            </w:r>
            <w:r w:rsidRPr="00CC0A05">
              <w:rPr>
                <w:rFonts w:ascii="Gotham Book" w:hAnsi="Gotham Book"/>
                <w:lang w:val="es-MX"/>
              </w:rPr>
              <w:lastRenderedPageBreak/>
              <w:t xml:space="preserve">reservas federales a cambio de alimentos y suministros. </w:t>
            </w:r>
          </w:p>
          <w:p w14:paraId="1CA4E9A1" w14:textId="77777777" w:rsidR="0051226C" w:rsidRPr="00CC0A05" w:rsidRDefault="0051226C" w:rsidP="0051226C">
            <w:pPr>
              <w:rPr>
                <w:rFonts w:ascii="Gotham Book" w:hAnsi="Gotham Book"/>
                <w:lang w:val="es-MX"/>
              </w:rPr>
            </w:pPr>
          </w:p>
          <w:p w14:paraId="072D21D3" w14:textId="15F7B500" w:rsidR="0051226C" w:rsidRPr="00CC0A05" w:rsidRDefault="0051226C" w:rsidP="0051226C">
            <w:pPr>
              <w:rPr>
                <w:rFonts w:ascii="Gotham Book" w:hAnsi="Gotham Book"/>
                <w:lang w:val="es-MX"/>
              </w:rPr>
            </w:pPr>
            <w:r w:rsidRPr="00CC0A05">
              <w:rPr>
                <w:rFonts w:ascii="Gotham Book" w:hAnsi="Gotham Book"/>
                <w:lang w:val="es-MX"/>
              </w:rPr>
              <w:t xml:space="preserve">El Tratado de Medicine Lodge tuvo un éxito limitado, y algunas bandas de tribus de las Llanuras continuaron saqueando a lo largo de la frontera.  </w:t>
            </w:r>
          </w:p>
          <w:p w14:paraId="15ACF145" w14:textId="77777777" w:rsidR="0051226C" w:rsidRPr="00CC0A05" w:rsidRDefault="0051226C">
            <w:pPr>
              <w:rPr>
                <w:lang w:val="es-MX"/>
              </w:rPr>
            </w:pPr>
          </w:p>
        </w:tc>
        <w:tc>
          <w:tcPr>
            <w:tcW w:w="3775" w:type="dxa"/>
            <w:tcBorders>
              <w:top w:val="nil"/>
              <w:bottom w:val="nil"/>
              <w:right w:val="nil"/>
            </w:tcBorders>
          </w:tcPr>
          <w:p w14:paraId="26B0AB66" w14:textId="7F66694D" w:rsidR="0051226C" w:rsidRPr="00CC0A05" w:rsidRDefault="0051226C" w:rsidP="0051226C">
            <w:pPr>
              <w:pStyle w:val="ListParagraph"/>
              <w:numPr>
                <w:ilvl w:val="0"/>
                <w:numId w:val="1"/>
              </w:numPr>
              <w:rPr>
                <w:lang w:val="es-MX"/>
              </w:rPr>
            </w:pPr>
            <w:r w:rsidRPr="00CC0A05">
              <w:rPr>
                <w:lang w:val="es-MX"/>
              </w:rPr>
              <w:lastRenderedPageBreak/>
              <w:t>¿Qué fue el Tratado de la Logia Medicinal y tuvo éxito en el cumplimiento de sus objetivos?</w:t>
            </w:r>
          </w:p>
        </w:tc>
      </w:tr>
    </w:tbl>
    <w:p w14:paraId="0873DE8C" w14:textId="77777777" w:rsidR="0051226C" w:rsidRPr="00CC0A05" w:rsidRDefault="0051226C">
      <w:pPr>
        <w:rPr>
          <w:sz w:val="2"/>
          <w:szCs w:val="2"/>
          <w:lang w:val="es-MX"/>
        </w:rPr>
      </w:pPr>
    </w:p>
    <w:p w14:paraId="6150F9D9" w14:textId="77777777" w:rsidR="0051226C" w:rsidRPr="00CC0A05" w:rsidRDefault="0051226C">
      <w:pPr>
        <w:rPr>
          <w:sz w:val="2"/>
          <w:szCs w:val="2"/>
          <w:lang w:val="es-MX"/>
        </w:rPr>
      </w:pPr>
    </w:p>
    <w:p w14:paraId="1E8B2FFF" w14:textId="77777777" w:rsidR="0051226C" w:rsidRPr="00CC0A05" w:rsidRDefault="0051226C">
      <w:pPr>
        <w:rPr>
          <w:sz w:val="2"/>
          <w:szCs w:val="2"/>
          <w:lang w:val="es-MX"/>
        </w:rPr>
      </w:pPr>
    </w:p>
    <w:tbl>
      <w:tblPr>
        <w:tblStyle w:val="TableGrid"/>
        <w:tblW w:w="0" w:type="auto"/>
        <w:tblLook w:val="04A0" w:firstRow="1" w:lastRow="0" w:firstColumn="1" w:lastColumn="0" w:noHBand="0" w:noVBand="1"/>
      </w:tblPr>
      <w:tblGrid>
        <w:gridCol w:w="9350"/>
      </w:tblGrid>
      <w:tr w:rsidR="0051226C" w:rsidRPr="00CC0A05" w14:paraId="70426FAF" w14:textId="77777777" w:rsidTr="009049EA">
        <w:trPr>
          <w:trHeight w:val="512"/>
        </w:trPr>
        <w:tc>
          <w:tcPr>
            <w:tcW w:w="9350" w:type="dxa"/>
            <w:shd w:val="clear" w:color="auto" w:fill="D9D9D9" w:themeFill="background1" w:themeFillShade="D9"/>
            <w:vAlign w:val="center"/>
          </w:tcPr>
          <w:p w14:paraId="1DFF8FF5" w14:textId="77777777" w:rsidR="0051226C" w:rsidRPr="00CC0A05" w:rsidRDefault="0051226C" w:rsidP="009049EA">
            <w:pPr>
              <w:jc w:val="center"/>
              <w:rPr>
                <w:rFonts w:ascii="Gotham Book" w:hAnsi="Gotham Book"/>
                <w:b/>
                <w:bCs/>
                <w:sz w:val="28"/>
                <w:szCs w:val="32"/>
                <w:lang w:val="es-MX"/>
              </w:rPr>
            </w:pPr>
            <w:r w:rsidRPr="00CC0A05">
              <w:rPr>
                <w:rFonts w:ascii="Gotham Book" w:hAnsi="Gotham Book"/>
                <w:b/>
                <w:bCs/>
                <w:sz w:val="28"/>
                <w:szCs w:val="32"/>
                <w:lang w:val="es-MX"/>
              </w:rPr>
              <w:t xml:space="preserve">La masacre de Salt Creek, </w:t>
            </w:r>
            <w:r w:rsidRPr="00CC0A05">
              <w:rPr>
                <w:rFonts w:ascii="Gotham Book" w:hAnsi="Gotham Book"/>
                <w:b/>
                <w:bCs/>
                <w:color w:val="404040" w:themeColor="text1" w:themeTint="BF"/>
                <w:sz w:val="28"/>
                <w:szCs w:val="32"/>
                <w:lang w:val="es-MX"/>
              </w:rPr>
              <w:t>primavera de 1871</w:t>
            </w:r>
          </w:p>
        </w:tc>
      </w:tr>
    </w:tbl>
    <w:p w14:paraId="5C075385" w14:textId="77777777" w:rsidR="0051226C" w:rsidRPr="00CC0A05" w:rsidRDefault="0051226C">
      <w:pPr>
        <w:rPr>
          <w:sz w:val="2"/>
          <w:szCs w:val="2"/>
          <w:lang w:val="es-MX"/>
        </w:rPr>
      </w:pPr>
    </w:p>
    <w:tbl>
      <w:tblPr>
        <w:tblStyle w:val="TableGrid"/>
        <w:tblW w:w="0" w:type="auto"/>
        <w:tblLook w:val="04A0" w:firstRow="1" w:lastRow="0" w:firstColumn="1" w:lastColumn="0" w:noHBand="0" w:noVBand="1"/>
      </w:tblPr>
      <w:tblGrid>
        <w:gridCol w:w="5485"/>
        <w:gridCol w:w="3865"/>
      </w:tblGrid>
      <w:tr w:rsidR="00A725B4" w:rsidRPr="00CC0A05" w14:paraId="54253A7C" w14:textId="77777777" w:rsidTr="00681031">
        <w:trPr>
          <w:trHeight w:val="3140"/>
        </w:trPr>
        <w:tc>
          <w:tcPr>
            <w:tcW w:w="5485" w:type="dxa"/>
          </w:tcPr>
          <w:p w14:paraId="5962D16C" w14:textId="77777777" w:rsidR="00A725B4" w:rsidRPr="00CC0A05" w:rsidRDefault="00A725B4" w:rsidP="00C15E2F">
            <w:pPr>
              <w:rPr>
                <w:rFonts w:ascii="Gotham Book" w:hAnsi="Gotham Book"/>
                <w:sz w:val="8"/>
                <w:szCs w:val="6"/>
                <w:lang w:val="es-MX"/>
              </w:rPr>
            </w:pPr>
          </w:p>
          <w:p w14:paraId="3F091266" w14:textId="44FEA2BE" w:rsidR="00A725B4" w:rsidRPr="00CC0A05" w:rsidRDefault="00A725B4" w:rsidP="00A725B4">
            <w:pPr>
              <w:rPr>
                <w:rFonts w:ascii="Gotham Book" w:hAnsi="Gotham Book"/>
                <w:lang w:val="es-MX"/>
              </w:rPr>
            </w:pPr>
            <w:r w:rsidRPr="00CC0A05">
              <w:rPr>
                <w:rFonts w:ascii="Gotham Book" w:hAnsi="Gotham Book"/>
                <w:lang w:val="es-MX"/>
              </w:rPr>
              <w:t xml:space="preserve">En mayo de 1871, un jefe kiowa llamado Satanta lideró un ataque contra un tren de carros de doce hombres que viajaba de Fort Griffin a Fort Richardson en el norte de Texas, matando a siete de los doce. Este evento se conoce a menudo como la incursión del tren de vagones de Warren o la Masacre de Salt Creek. </w:t>
            </w:r>
          </w:p>
          <w:p w14:paraId="22685F97" w14:textId="77777777" w:rsidR="00681031" w:rsidRPr="00CC0A05" w:rsidRDefault="00681031" w:rsidP="00A725B4">
            <w:pPr>
              <w:rPr>
                <w:rFonts w:ascii="Gotham Book" w:hAnsi="Gotham Book"/>
                <w:sz w:val="10"/>
                <w:szCs w:val="10"/>
                <w:lang w:val="es-MX"/>
              </w:rPr>
            </w:pPr>
          </w:p>
          <w:p w14:paraId="0F04DAB1" w14:textId="3F70B140" w:rsidR="00A725B4" w:rsidRPr="00CC0A05" w:rsidRDefault="00681031" w:rsidP="00C15E2F">
            <w:pPr>
              <w:rPr>
                <w:rFonts w:ascii="Gotham Book" w:hAnsi="Gotham Book"/>
                <w:lang w:val="es-MX"/>
              </w:rPr>
            </w:pPr>
            <w:r w:rsidRPr="00CC0A05">
              <w:rPr>
                <w:rFonts w:ascii="Gotham Book" w:hAnsi="Gotham Book"/>
                <w:lang w:val="es-MX"/>
              </w:rPr>
              <w:t xml:space="preserve">En respuesta a la Masacre de Salt Creek, el Ejército de los Estados Unidos lanzó una campaña militar contra bandas de tribus de las Llanuras que se negaban a vivir en las reservas designadas de Oklahoma, incluyendo a los comanches, apaches y kickapoo. </w:t>
            </w:r>
          </w:p>
        </w:tc>
        <w:tc>
          <w:tcPr>
            <w:tcW w:w="3865" w:type="dxa"/>
            <w:tcBorders>
              <w:top w:val="nil"/>
              <w:bottom w:val="nil"/>
              <w:right w:val="nil"/>
            </w:tcBorders>
          </w:tcPr>
          <w:p w14:paraId="4846833B" w14:textId="2CA3B207" w:rsidR="00A725B4" w:rsidRPr="00CC0A05" w:rsidRDefault="00681031" w:rsidP="00A725B4">
            <w:pPr>
              <w:pStyle w:val="ListParagraph"/>
              <w:numPr>
                <w:ilvl w:val="0"/>
                <w:numId w:val="1"/>
              </w:numPr>
              <w:rPr>
                <w:lang w:val="es-MX"/>
              </w:rPr>
            </w:pPr>
            <w:r w:rsidRPr="00CC0A05">
              <w:rPr>
                <w:lang w:val="es-MX"/>
              </w:rPr>
              <w:t>¿Qué fue la Masacre de Salt Creek y qué importancia tuvo en la historia de Texas?</w:t>
            </w:r>
          </w:p>
        </w:tc>
      </w:tr>
    </w:tbl>
    <w:p w14:paraId="07944336" w14:textId="77777777" w:rsidR="008C77AB" w:rsidRPr="00CC0A05" w:rsidRDefault="008C77AB">
      <w:pPr>
        <w:rPr>
          <w:sz w:val="2"/>
          <w:szCs w:val="2"/>
          <w:lang w:val="es-MX"/>
        </w:rPr>
      </w:pPr>
    </w:p>
    <w:tbl>
      <w:tblPr>
        <w:tblStyle w:val="TableGrid"/>
        <w:tblW w:w="0" w:type="auto"/>
        <w:tblLook w:val="04A0" w:firstRow="1" w:lastRow="0" w:firstColumn="1" w:lastColumn="0" w:noHBand="0" w:noVBand="1"/>
      </w:tblPr>
      <w:tblGrid>
        <w:gridCol w:w="9350"/>
      </w:tblGrid>
      <w:tr w:rsidR="00681031" w:rsidRPr="00CC0A05" w14:paraId="6A73C3AF" w14:textId="77777777" w:rsidTr="00C15E2F">
        <w:trPr>
          <w:trHeight w:val="512"/>
        </w:trPr>
        <w:tc>
          <w:tcPr>
            <w:tcW w:w="9350" w:type="dxa"/>
            <w:shd w:val="clear" w:color="auto" w:fill="D9D9D9" w:themeFill="background1" w:themeFillShade="D9"/>
            <w:vAlign w:val="center"/>
          </w:tcPr>
          <w:p w14:paraId="5B586DA9" w14:textId="46F4EA14" w:rsidR="00681031" w:rsidRPr="00CC0A05" w:rsidRDefault="00681031" w:rsidP="00C15E2F">
            <w:pPr>
              <w:jc w:val="center"/>
              <w:rPr>
                <w:rFonts w:ascii="Gotham Book" w:hAnsi="Gotham Book"/>
                <w:b/>
                <w:bCs/>
                <w:sz w:val="28"/>
                <w:szCs w:val="32"/>
                <w:lang w:val="es-MX"/>
              </w:rPr>
            </w:pPr>
            <w:r w:rsidRPr="00CC0A05">
              <w:rPr>
                <w:rFonts w:ascii="Gotham Book" w:hAnsi="Gotham Book"/>
                <w:b/>
                <w:bCs/>
                <w:sz w:val="28"/>
                <w:szCs w:val="32"/>
                <w:lang w:val="es-MX"/>
              </w:rPr>
              <w:t>La destrucción del búfalo americano</w:t>
            </w:r>
          </w:p>
        </w:tc>
      </w:tr>
    </w:tbl>
    <w:p w14:paraId="762701DD" w14:textId="77777777" w:rsidR="00681031" w:rsidRPr="00CC0A05" w:rsidRDefault="00681031" w:rsidP="00681031">
      <w:pPr>
        <w:rPr>
          <w:sz w:val="2"/>
          <w:szCs w:val="2"/>
          <w:lang w:val="es-MX"/>
        </w:rPr>
      </w:pPr>
    </w:p>
    <w:tbl>
      <w:tblPr>
        <w:tblStyle w:val="TableGrid"/>
        <w:tblW w:w="0" w:type="auto"/>
        <w:tblLook w:val="04A0" w:firstRow="1" w:lastRow="0" w:firstColumn="1" w:lastColumn="0" w:noHBand="0" w:noVBand="1"/>
      </w:tblPr>
      <w:tblGrid>
        <w:gridCol w:w="5485"/>
        <w:gridCol w:w="3865"/>
      </w:tblGrid>
      <w:tr w:rsidR="00681031" w:rsidRPr="00CC0A05" w14:paraId="1827D450" w14:textId="77777777" w:rsidTr="00BB6FFD">
        <w:trPr>
          <w:trHeight w:val="7604"/>
        </w:trPr>
        <w:tc>
          <w:tcPr>
            <w:tcW w:w="5485" w:type="dxa"/>
          </w:tcPr>
          <w:p w14:paraId="517F6DB3" w14:textId="77777777" w:rsidR="00681031" w:rsidRPr="00CC0A05" w:rsidRDefault="00681031" w:rsidP="00C15E2F">
            <w:pPr>
              <w:rPr>
                <w:rFonts w:ascii="Gotham Book" w:hAnsi="Gotham Book"/>
                <w:sz w:val="12"/>
                <w:szCs w:val="12"/>
                <w:lang w:val="es-MX"/>
              </w:rPr>
            </w:pPr>
          </w:p>
          <w:p w14:paraId="20A053F5" w14:textId="4E26FE53" w:rsidR="00681031" w:rsidRPr="00CC0A05" w:rsidRDefault="00433888" w:rsidP="00681031">
            <w:pPr>
              <w:rPr>
                <w:rFonts w:ascii="Gotham Book" w:hAnsi="Gotham Book"/>
                <w:lang w:val="es-MX"/>
              </w:rPr>
            </w:pPr>
            <w:r w:rsidRPr="00CC0A05">
              <w:rPr>
                <w:rFonts w:ascii="Gotham Book" w:hAnsi="Gotham Book"/>
                <w:lang w:val="es-MX"/>
              </w:rPr>
              <w:t xml:space="preserve">Muchas tribus nómadas de las Grandes Llanuras, como los comanches y los kiowa, dependían del búfalo americano para alimento, ropa, refugio y herramientas. </w:t>
            </w:r>
          </w:p>
          <w:p w14:paraId="1EF05C70" w14:textId="77777777" w:rsidR="00FE5F98" w:rsidRPr="00CC0A05" w:rsidRDefault="00FE5F98" w:rsidP="00681031">
            <w:pPr>
              <w:rPr>
                <w:rFonts w:ascii="Gotham Book" w:hAnsi="Gotham Book"/>
                <w:sz w:val="16"/>
                <w:szCs w:val="16"/>
                <w:lang w:val="es-MX"/>
              </w:rPr>
            </w:pPr>
          </w:p>
          <w:p w14:paraId="75ED979B" w14:textId="6DB6D914" w:rsidR="00681031" w:rsidRPr="00CC0A05" w:rsidRDefault="000826A6" w:rsidP="000826A6">
            <w:pPr>
              <w:rPr>
                <w:rFonts w:ascii="Gotham Book" w:hAnsi="Gotham Book"/>
                <w:lang w:val="es-MX"/>
              </w:rPr>
            </w:pPr>
            <w:r w:rsidRPr="00CC0A05">
              <w:rPr>
                <w:rFonts w:ascii="Gotham Book" w:hAnsi="Gotham Book"/>
                <w:lang w:val="es-MX"/>
              </w:rPr>
              <w:t xml:space="preserve">En la década de 1870, cada vez más cazadores blancos en Texas y en el resto de las Grandes Llanuras comenzaron a cazar búfalos para satisfacer la creciente demanda de cuero hecho de pieles de búfalo. Para la década de 1880, aproximadamente 3,5 millones de búfalos habían muerto. Esto tuvo un impacto profundo en las tribus de las Llanuras, que dependían del búfalo para sobrevivir. </w:t>
            </w:r>
          </w:p>
          <w:p w14:paraId="7D965AD1" w14:textId="77777777" w:rsidR="000826A6" w:rsidRPr="00CC0A05" w:rsidRDefault="000826A6" w:rsidP="000826A6">
            <w:pPr>
              <w:rPr>
                <w:rFonts w:ascii="Gotham Book" w:hAnsi="Gotham Book"/>
                <w:sz w:val="16"/>
                <w:szCs w:val="16"/>
                <w:lang w:val="es-MX"/>
              </w:rPr>
            </w:pPr>
          </w:p>
          <w:p w14:paraId="1F58ED3C" w14:textId="64050743" w:rsidR="000826A6" w:rsidRPr="00CC0A05" w:rsidRDefault="000826A6" w:rsidP="000826A6">
            <w:pPr>
              <w:rPr>
                <w:rFonts w:ascii="Gotham Book" w:hAnsi="Gotham Book"/>
                <w:lang w:val="es-MX"/>
              </w:rPr>
            </w:pPr>
            <w:r w:rsidRPr="00CC0A05">
              <w:rPr>
                <w:rFonts w:ascii="Gotham Book" w:hAnsi="Gotham Book"/>
                <w:lang w:val="es-MX"/>
              </w:rPr>
              <w:t>El agotamiento del búfalo americano, combinado con la creciente presión del ejército estadounidense, obligó a muchas bandas de kiowa y comanches en las llanuras de Texas a abandonar las llanuras y trasladarse a reservas en Oklahoma.</w:t>
            </w:r>
          </w:p>
          <w:p w14:paraId="45B57B4D" w14:textId="77777777" w:rsidR="008C77AB" w:rsidRPr="00CC0A05" w:rsidRDefault="008C77AB" w:rsidP="000826A6">
            <w:pPr>
              <w:rPr>
                <w:rFonts w:ascii="Gotham Book" w:hAnsi="Gotham Book"/>
                <w:sz w:val="12"/>
                <w:szCs w:val="12"/>
                <w:lang w:val="es-MX"/>
              </w:rPr>
            </w:pPr>
          </w:p>
          <w:p w14:paraId="399811A0" w14:textId="42B35584" w:rsidR="008C77AB" w:rsidRPr="00CC0A05" w:rsidRDefault="008C77AB" w:rsidP="000826A6">
            <w:pPr>
              <w:rPr>
                <w:rFonts w:ascii="Gotham Book" w:hAnsi="Gotham Book"/>
                <w:lang w:val="es-MX"/>
              </w:rPr>
            </w:pPr>
            <w:r w:rsidRPr="00CC0A05">
              <w:rPr>
                <w:rFonts w:ascii="Gotham Book" w:hAnsi="Gotham Book"/>
                <w:lang w:val="es-MX"/>
              </w:rPr>
              <w:t xml:space="preserve">El gobierno de EE. UU. había prometido proporcionar alimentos y suministros a las tribus que se trasladaran a las reservas.  Sin embargo, el gobierno a menudo no proporcionaba estas raciones a los kiowa y comanches que se habían asentado recientemente en las reservas. Además, el gobierno no pudo impedir que los colonos blancos invadieran las tierras de la reserva, lo que tensionó aún más la relación entre los indígenas americanos y Estados Unidos. </w:t>
            </w:r>
          </w:p>
        </w:tc>
        <w:tc>
          <w:tcPr>
            <w:tcW w:w="3865" w:type="dxa"/>
            <w:tcBorders>
              <w:top w:val="nil"/>
              <w:bottom w:val="nil"/>
              <w:right w:val="nil"/>
            </w:tcBorders>
          </w:tcPr>
          <w:p w14:paraId="19E8EF0F" w14:textId="5AC08C12" w:rsidR="00BB6FFD" w:rsidRPr="00CC0A05" w:rsidRDefault="00850DC6" w:rsidP="00BB6FFD">
            <w:pPr>
              <w:pStyle w:val="ListParagraph"/>
              <w:numPr>
                <w:ilvl w:val="0"/>
                <w:numId w:val="1"/>
              </w:numPr>
              <w:rPr>
                <w:lang w:val="es-MX"/>
              </w:rPr>
            </w:pPr>
            <w:r w:rsidRPr="00CC0A05">
              <w:rPr>
                <w:lang w:val="es-MX"/>
              </w:rPr>
              <w:t>Enumera tres problemas que enfrentaron las tribus de las Grandes Llanuras de Texas durante esta época Y explica un efecto o consecuencia significativa de cada problema.</w:t>
            </w:r>
          </w:p>
        </w:tc>
      </w:tr>
    </w:tbl>
    <w:p w14:paraId="675B2927" w14:textId="77777777" w:rsidR="00BB6FFD" w:rsidRPr="00CC0A05" w:rsidRDefault="00BB6FFD" w:rsidP="00BB6FFD">
      <w:pPr>
        <w:rPr>
          <w:sz w:val="2"/>
          <w:szCs w:val="2"/>
          <w:lang w:val="es-MX"/>
        </w:rPr>
      </w:pPr>
    </w:p>
    <w:tbl>
      <w:tblPr>
        <w:tblStyle w:val="TableGrid"/>
        <w:tblW w:w="0" w:type="auto"/>
        <w:tblLook w:val="04A0" w:firstRow="1" w:lastRow="0" w:firstColumn="1" w:lastColumn="0" w:noHBand="0" w:noVBand="1"/>
      </w:tblPr>
      <w:tblGrid>
        <w:gridCol w:w="9350"/>
      </w:tblGrid>
      <w:tr w:rsidR="0051226C" w:rsidRPr="00CC0A05" w14:paraId="6E4CC549" w14:textId="77777777" w:rsidTr="009049EA">
        <w:trPr>
          <w:trHeight w:val="512"/>
        </w:trPr>
        <w:tc>
          <w:tcPr>
            <w:tcW w:w="9350" w:type="dxa"/>
            <w:shd w:val="clear" w:color="auto" w:fill="D9D9D9" w:themeFill="background1" w:themeFillShade="D9"/>
            <w:vAlign w:val="center"/>
          </w:tcPr>
          <w:p w14:paraId="44F4617D" w14:textId="77777777" w:rsidR="0051226C" w:rsidRPr="00CC0A05" w:rsidRDefault="0051226C" w:rsidP="009049EA">
            <w:pPr>
              <w:jc w:val="center"/>
              <w:rPr>
                <w:rFonts w:ascii="Gotham Book" w:hAnsi="Gotham Book"/>
                <w:b/>
                <w:bCs/>
                <w:sz w:val="28"/>
                <w:szCs w:val="32"/>
                <w:lang w:val="es-MX"/>
              </w:rPr>
            </w:pPr>
            <w:r w:rsidRPr="00CC0A05">
              <w:rPr>
                <w:rFonts w:ascii="Gotham Book" w:hAnsi="Gotham Book"/>
                <w:b/>
                <w:bCs/>
                <w:sz w:val="28"/>
                <w:szCs w:val="32"/>
                <w:lang w:val="es-MX"/>
              </w:rPr>
              <w:t xml:space="preserve">La Guerra del Río Rojo, </w:t>
            </w:r>
            <w:r w:rsidRPr="00CC0A05">
              <w:rPr>
                <w:rFonts w:ascii="Gotham Book" w:hAnsi="Gotham Book"/>
                <w:b/>
                <w:bCs/>
                <w:color w:val="404040" w:themeColor="text1" w:themeTint="BF"/>
                <w:sz w:val="28"/>
                <w:szCs w:val="32"/>
                <w:lang w:val="es-MX"/>
              </w:rPr>
              <w:t>1874 - 1875</w:t>
            </w:r>
          </w:p>
        </w:tc>
      </w:tr>
    </w:tbl>
    <w:p w14:paraId="3B18E420" w14:textId="77777777" w:rsidR="0051226C" w:rsidRPr="00CC0A05" w:rsidRDefault="0051226C" w:rsidP="00BB6FFD">
      <w:pPr>
        <w:rPr>
          <w:sz w:val="2"/>
          <w:szCs w:val="2"/>
          <w:lang w:val="es-MX"/>
        </w:rPr>
      </w:pPr>
    </w:p>
    <w:tbl>
      <w:tblPr>
        <w:tblStyle w:val="TableGrid"/>
        <w:tblW w:w="0" w:type="auto"/>
        <w:tblLook w:val="04A0" w:firstRow="1" w:lastRow="0" w:firstColumn="1" w:lastColumn="0" w:noHBand="0" w:noVBand="1"/>
      </w:tblPr>
      <w:tblGrid>
        <w:gridCol w:w="5485"/>
        <w:gridCol w:w="3865"/>
      </w:tblGrid>
      <w:tr w:rsidR="00BB6FFD" w:rsidRPr="00CC0A05" w14:paraId="1B2313E6" w14:textId="77777777" w:rsidTr="00026A06">
        <w:trPr>
          <w:trHeight w:val="3140"/>
        </w:trPr>
        <w:tc>
          <w:tcPr>
            <w:tcW w:w="5485" w:type="dxa"/>
          </w:tcPr>
          <w:p w14:paraId="2F469AFB" w14:textId="77777777" w:rsidR="00BB6FFD" w:rsidRPr="00CC0A05" w:rsidRDefault="00BB6FFD" w:rsidP="00026A06">
            <w:pPr>
              <w:rPr>
                <w:rFonts w:ascii="Gotham Book" w:hAnsi="Gotham Book"/>
                <w:sz w:val="12"/>
                <w:szCs w:val="12"/>
                <w:lang w:val="es-MX"/>
              </w:rPr>
            </w:pPr>
          </w:p>
          <w:p w14:paraId="68B16A3A" w14:textId="0DA81DCE" w:rsidR="00BB6FFD" w:rsidRPr="00CC0A05" w:rsidRDefault="00BB6FFD" w:rsidP="00026A06">
            <w:pPr>
              <w:rPr>
                <w:rFonts w:ascii="Gotham Book" w:hAnsi="Gotham Book"/>
                <w:lang w:val="es-MX"/>
              </w:rPr>
            </w:pPr>
            <w:r w:rsidRPr="00CC0A05">
              <w:rPr>
                <w:rFonts w:ascii="Gotham Book" w:hAnsi="Gotham Book"/>
                <w:lang w:val="es-MX"/>
              </w:rPr>
              <w:t xml:space="preserve">Frustrados por el continuo avance de colonos blancos en las reservas indias, un grupo de guerra de 700 comanches, kiowas y cheyennes, liderado por Quanah Parker lanzó un ataque contra un campamento de cazadores de búfalos en Adobe Walls, en el panhandle de Texas, en junio de 1874. El grupo de guerra se refugió entonces en el panhandle de Texas. </w:t>
            </w:r>
          </w:p>
          <w:p w14:paraId="6AA545F3" w14:textId="77777777" w:rsidR="00033AD7" w:rsidRPr="00CC0A05" w:rsidRDefault="00033AD7" w:rsidP="00026A06">
            <w:pPr>
              <w:rPr>
                <w:rFonts w:ascii="Gotham Book" w:hAnsi="Gotham Book"/>
                <w:sz w:val="10"/>
                <w:szCs w:val="10"/>
                <w:lang w:val="es-MX"/>
              </w:rPr>
            </w:pPr>
          </w:p>
          <w:p w14:paraId="164D76D9" w14:textId="429D029A" w:rsidR="00033AD7" w:rsidRPr="00CC0A05" w:rsidRDefault="00033AD7" w:rsidP="00026A06">
            <w:pPr>
              <w:rPr>
                <w:rFonts w:ascii="Gotham Book" w:hAnsi="Gotham Book"/>
                <w:lang w:val="es-MX"/>
              </w:rPr>
            </w:pPr>
            <w:r w:rsidRPr="00CC0A05">
              <w:rPr>
                <w:rFonts w:ascii="Gotham Book" w:hAnsi="Gotham Book"/>
                <w:lang w:val="es-MX"/>
              </w:rPr>
              <w:t xml:space="preserve">El ejército estadounidense respondió a la lucha en Adobe Walls enviando 5.000 tropas, incluidos soldados búfalo, para enfrentarse a los últimos </w:t>
            </w:r>
            <w:r w:rsidRPr="00CC0A05">
              <w:rPr>
                <w:rFonts w:ascii="Gotham Book" w:hAnsi="Gotham Book"/>
                <w:lang w:val="es-MX"/>
              </w:rPr>
              <w:lastRenderedPageBreak/>
              <w:t xml:space="preserve">indios de las Llanuras. Hubo varios pequeños enfrentamientos desde el verano de 1874 hasta la primavera de 1875, incluyendo cuando el ejército estadounidense atacó a los indios de las Llanuras acampados en el cañón Palo Duro, matando a varios indígenas, destruyendo cinco aldeas y capturando 1.400 caballos. </w:t>
            </w:r>
          </w:p>
          <w:p w14:paraId="6CA3536E" w14:textId="77777777" w:rsidR="009421B4" w:rsidRPr="00CC0A05" w:rsidRDefault="009421B4" w:rsidP="00026A06">
            <w:pPr>
              <w:rPr>
                <w:rFonts w:ascii="Gotham Book" w:hAnsi="Gotham Book"/>
                <w:sz w:val="14"/>
                <w:szCs w:val="14"/>
                <w:lang w:val="es-MX"/>
              </w:rPr>
            </w:pPr>
          </w:p>
          <w:p w14:paraId="2063FB97" w14:textId="662F4CE9" w:rsidR="009421B4" w:rsidRPr="00CC0A05" w:rsidRDefault="009421B4" w:rsidP="00026A06">
            <w:pPr>
              <w:rPr>
                <w:rFonts w:ascii="Gotham Book" w:hAnsi="Gotham Book"/>
                <w:lang w:val="es-MX"/>
              </w:rPr>
            </w:pPr>
            <w:r w:rsidRPr="00CC0A05">
              <w:rPr>
                <w:rFonts w:ascii="Gotham Book" w:hAnsi="Gotham Book"/>
                <w:lang w:val="es-MX"/>
              </w:rPr>
              <w:t xml:space="preserve">Sin comida, refugio ni caballos, Quanah Parker y sus hombres se rindieron el 2 de junio de 1875 y se trasladaron a la reserva en Oklahoma. La Guerra del Río Rojo, como llegó a conocerse, fue la última vez que los comanches y sus aliados pudieron reunir una fuerza militar significativa contra el ejército estadounidense en Texas. </w:t>
            </w:r>
          </w:p>
          <w:p w14:paraId="3CA89DD9" w14:textId="77777777" w:rsidR="009421B4" w:rsidRPr="00CC0A05" w:rsidRDefault="009421B4" w:rsidP="00026A06">
            <w:pPr>
              <w:rPr>
                <w:rFonts w:ascii="Gotham Book" w:hAnsi="Gotham Book"/>
                <w:lang w:val="es-MX"/>
              </w:rPr>
            </w:pPr>
          </w:p>
          <w:p w14:paraId="7B1A7E98" w14:textId="05417589" w:rsidR="00B21B54" w:rsidRPr="00CC0A05" w:rsidRDefault="009421B4" w:rsidP="00026A06">
            <w:pPr>
              <w:rPr>
                <w:rFonts w:ascii="Gotham Book" w:hAnsi="Gotham Book"/>
                <w:lang w:val="es-MX"/>
              </w:rPr>
            </w:pPr>
            <w:r w:rsidRPr="00CC0A05">
              <w:rPr>
                <w:rFonts w:ascii="Gotham Book" w:hAnsi="Gotham Book"/>
                <w:lang w:val="es-MX"/>
              </w:rPr>
              <w:t xml:space="preserve">Al final de la Guerra del Río Rojo, el ejército estadounidense había expulsado a la mayoría de las tribus indígenas americanas de Texas, y el dominio comanche en las llanuras llegó a su fin. Las únicas tribus que permanecieron en Texas en 1880 fueron los Alabama-Coushatta en el este de Texas y los Tigua en El Paso. </w:t>
            </w:r>
          </w:p>
          <w:p w14:paraId="7E7C455C" w14:textId="77777777" w:rsidR="00B21B54" w:rsidRPr="00CC0A05" w:rsidRDefault="00B21B54" w:rsidP="00026A06">
            <w:pPr>
              <w:rPr>
                <w:rFonts w:ascii="Gotham Book" w:hAnsi="Gotham Book"/>
                <w:lang w:val="es-MX"/>
              </w:rPr>
            </w:pPr>
          </w:p>
          <w:p w14:paraId="25FA5963" w14:textId="75E2AD71" w:rsidR="009421B4" w:rsidRPr="00CC0A05" w:rsidRDefault="009421B4" w:rsidP="00C630F2">
            <w:pPr>
              <w:rPr>
                <w:rFonts w:ascii="Gotham Book" w:hAnsi="Gotham Book"/>
                <w:lang w:val="es-MX"/>
              </w:rPr>
            </w:pPr>
          </w:p>
        </w:tc>
        <w:tc>
          <w:tcPr>
            <w:tcW w:w="3865" w:type="dxa"/>
            <w:tcBorders>
              <w:top w:val="nil"/>
              <w:bottom w:val="nil"/>
              <w:right w:val="nil"/>
            </w:tcBorders>
          </w:tcPr>
          <w:p w14:paraId="3A65B496" w14:textId="77777777" w:rsidR="00BB6FFD" w:rsidRPr="00CC0A05" w:rsidRDefault="009421B4" w:rsidP="00BB6FFD">
            <w:pPr>
              <w:pStyle w:val="ListParagraph"/>
              <w:numPr>
                <w:ilvl w:val="0"/>
                <w:numId w:val="1"/>
              </w:numPr>
              <w:rPr>
                <w:lang w:val="es-MX"/>
              </w:rPr>
            </w:pPr>
            <w:r w:rsidRPr="00CC0A05">
              <w:rPr>
                <w:lang w:val="es-MX"/>
              </w:rPr>
              <w:lastRenderedPageBreak/>
              <w:t>¿Qué causó el estallido de la Guerra del Río Rojo?</w:t>
            </w:r>
          </w:p>
          <w:p w14:paraId="604CF2C6" w14:textId="77777777" w:rsidR="009421B4" w:rsidRPr="00CC0A05" w:rsidRDefault="009421B4" w:rsidP="009421B4">
            <w:pPr>
              <w:rPr>
                <w:lang w:val="es-MX"/>
              </w:rPr>
            </w:pPr>
          </w:p>
          <w:p w14:paraId="3F94CD18" w14:textId="77777777" w:rsidR="009421B4" w:rsidRPr="00CC0A05" w:rsidRDefault="009421B4" w:rsidP="009421B4">
            <w:pPr>
              <w:rPr>
                <w:lang w:val="es-MX"/>
              </w:rPr>
            </w:pPr>
          </w:p>
          <w:p w14:paraId="18EB3902" w14:textId="77777777" w:rsidR="009421B4" w:rsidRPr="00CC0A05" w:rsidRDefault="009421B4" w:rsidP="009421B4">
            <w:pPr>
              <w:rPr>
                <w:lang w:val="es-MX"/>
              </w:rPr>
            </w:pPr>
          </w:p>
          <w:p w14:paraId="1783BB7B" w14:textId="77777777" w:rsidR="009421B4" w:rsidRPr="00CC0A05" w:rsidRDefault="009421B4" w:rsidP="009421B4">
            <w:pPr>
              <w:rPr>
                <w:lang w:val="es-MX"/>
              </w:rPr>
            </w:pPr>
          </w:p>
          <w:p w14:paraId="50372CC2" w14:textId="77777777" w:rsidR="009421B4" w:rsidRPr="00CC0A05" w:rsidRDefault="009421B4" w:rsidP="009421B4">
            <w:pPr>
              <w:rPr>
                <w:lang w:val="es-MX"/>
              </w:rPr>
            </w:pPr>
          </w:p>
          <w:p w14:paraId="40E39229" w14:textId="77777777" w:rsidR="009421B4" w:rsidRPr="00CC0A05" w:rsidRDefault="009421B4" w:rsidP="009421B4">
            <w:pPr>
              <w:rPr>
                <w:lang w:val="es-MX"/>
              </w:rPr>
            </w:pPr>
          </w:p>
          <w:p w14:paraId="5232D4D3" w14:textId="77777777" w:rsidR="009421B4" w:rsidRPr="00CC0A05" w:rsidRDefault="009421B4" w:rsidP="009421B4">
            <w:pPr>
              <w:rPr>
                <w:lang w:val="es-MX"/>
              </w:rPr>
            </w:pPr>
          </w:p>
          <w:p w14:paraId="766C88C9" w14:textId="77777777" w:rsidR="009421B4" w:rsidRPr="00CC0A05" w:rsidRDefault="009421B4" w:rsidP="00BB6FFD">
            <w:pPr>
              <w:pStyle w:val="ListParagraph"/>
              <w:numPr>
                <w:ilvl w:val="0"/>
                <w:numId w:val="1"/>
              </w:numPr>
              <w:rPr>
                <w:lang w:val="es-MX"/>
              </w:rPr>
            </w:pPr>
            <w:r w:rsidRPr="00CC0A05">
              <w:rPr>
                <w:lang w:val="es-MX"/>
              </w:rPr>
              <w:t>En dos o tres frases, resume la Guerra del Río Rojo.</w:t>
            </w:r>
          </w:p>
          <w:p w14:paraId="4F085084" w14:textId="77777777" w:rsidR="009421B4" w:rsidRPr="00CC0A05" w:rsidRDefault="009421B4" w:rsidP="009421B4">
            <w:pPr>
              <w:rPr>
                <w:lang w:val="es-MX"/>
              </w:rPr>
            </w:pPr>
          </w:p>
          <w:p w14:paraId="389607A4" w14:textId="77777777" w:rsidR="009421B4" w:rsidRPr="00CC0A05" w:rsidRDefault="009421B4" w:rsidP="009421B4">
            <w:pPr>
              <w:rPr>
                <w:lang w:val="es-MX"/>
              </w:rPr>
            </w:pPr>
          </w:p>
          <w:p w14:paraId="6C7B9957" w14:textId="77777777" w:rsidR="009421B4" w:rsidRPr="00CC0A05" w:rsidRDefault="009421B4" w:rsidP="009421B4">
            <w:pPr>
              <w:rPr>
                <w:lang w:val="es-MX"/>
              </w:rPr>
            </w:pPr>
          </w:p>
          <w:p w14:paraId="3176266E" w14:textId="77777777" w:rsidR="009421B4" w:rsidRPr="00CC0A05" w:rsidRDefault="009421B4" w:rsidP="009421B4">
            <w:pPr>
              <w:rPr>
                <w:lang w:val="es-MX"/>
              </w:rPr>
            </w:pPr>
          </w:p>
          <w:p w14:paraId="281DD03E" w14:textId="77777777" w:rsidR="009421B4" w:rsidRPr="00CC0A05" w:rsidRDefault="009421B4" w:rsidP="009421B4">
            <w:pPr>
              <w:rPr>
                <w:lang w:val="es-MX"/>
              </w:rPr>
            </w:pPr>
          </w:p>
          <w:p w14:paraId="35974B6F" w14:textId="77777777" w:rsidR="009421B4" w:rsidRPr="00CC0A05" w:rsidRDefault="009421B4" w:rsidP="009421B4">
            <w:pPr>
              <w:rPr>
                <w:lang w:val="es-MX"/>
              </w:rPr>
            </w:pPr>
          </w:p>
          <w:p w14:paraId="1103A44D" w14:textId="77777777" w:rsidR="009421B4" w:rsidRPr="00CC0A05" w:rsidRDefault="009421B4" w:rsidP="009421B4">
            <w:pPr>
              <w:rPr>
                <w:lang w:val="es-MX"/>
              </w:rPr>
            </w:pPr>
          </w:p>
          <w:p w14:paraId="1043FBE4" w14:textId="7A83EDE3" w:rsidR="009421B4" w:rsidRPr="00CC0A05" w:rsidRDefault="009421B4" w:rsidP="00BB6FFD">
            <w:pPr>
              <w:pStyle w:val="ListParagraph"/>
              <w:numPr>
                <w:ilvl w:val="0"/>
                <w:numId w:val="1"/>
              </w:numPr>
              <w:rPr>
                <w:lang w:val="es-MX"/>
              </w:rPr>
            </w:pPr>
            <w:r w:rsidRPr="00CC0A05">
              <w:rPr>
                <w:lang w:val="es-MX"/>
              </w:rPr>
              <w:t xml:space="preserve">¿Cuál fue el resultado y la importancia de la Guerra del Río Rojo? </w:t>
            </w:r>
          </w:p>
        </w:tc>
      </w:tr>
    </w:tbl>
    <w:p w14:paraId="15CC57FE" w14:textId="77777777" w:rsidR="00681031" w:rsidRPr="00CC0A05" w:rsidRDefault="00681031">
      <w:pPr>
        <w:rPr>
          <w:lang w:val="es-MX"/>
        </w:rPr>
      </w:pPr>
    </w:p>
    <w:p w14:paraId="77A72F61" w14:textId="4352A32B" w:rsidR="009421B4" w:rsidRPr="00CC0A05" w:rsidRDefault="009421B4">
      <w:pPr>
        <w:rPr>
          <w:lang w:val="es-MX"/>
        </w:rPr>
      </w:pPr>
    </w:p>
    <w:sectPr w:rsidR="009421B4" w:rsidRPr="00CC0A0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9008" w14:textId="77777777" w:rsidR="0086255D" w:rsidRDefault="0086255D" w:rsidP="0086255D">
      <w:pPr>
        <w:spacing w:after="0" w:line="240" w:lineRule="auto"/>
      </w:pPr>
      <w:r>
        <w:separator/>
      </w:r>
    </w:p>
  </w:endnote>
  <w:endnote w:type="continuationSeparator" w:id="0">
    <w:p w14:paraId="1D77247A" w14:textId="77777777" w:rsidR="0086255D" w:rsidRDefault="0086255D" w:rsidP="00862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404467"/>
      <w:docPartObj>
        <w:docPartGallery w:val="Page Numbers (Bottom of Page)"/>
        <w:docPartUnique/>
      </w:docPartObj>
    </w:sdtPr>
    <w:sdtEndPr>
      <w:rPr>
        <w:noProof/>
      </w:rPr>
    </w:sdtEndPr>
    <w:sdtContent>
      <w:p w14:paraId="67C5A678" w14:textId="5464F04F" w:rsidR="0086255D" w:rsidRDefault="0086255D">
        <w:pPr>
          <w:pStyle w:val="Footer"/>
          <w:jc w:val="center"/>
        </w:pPr>
        <w:r>
          <w:rPr>
            <w:noProof/>
            <w:sz w:val="18"/>
            <w:szCs w:val="18"/>
          </w:rPr>
          <w:drawing>
            <wp:anchor distT="0" distB="0" distL="114300" distR="114300" simplePos="0" relativeHeight="251661312" behindDoc="1" locked="0" layoutInCell="1" allowOverlap="1" wp14:anchorId="3A1A6360" wp14:editId="1CDD23AC">
              <wp:simplePos x="0" y="0"/>
              <wp:positionH relativeFrom="margin">
                <wp:posOffset>5486400</wp:posOffset>
              </wp:positionH>
              <wp:positionV relativeFrom="paragraph">
                <wp:posOffset>-87776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B395F42" w14:textId="77777777" w:rsidR="0086255D" w:rsidRDefault="00862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0A5B1" w14:textId="77777777" w:rsidR="0086255D" w:rsidRDefault="0086255D" w:rsidP="0086255D">
      <w:pPr>
        <w:spacing w:after="0" w:line="240" w:lineRule="auto"/>
      </w:pPr>
      <w:r>
        <w:separator/>
      </w:r>
    </w:p>
  </w:footnote>
  <w:footnote w:type="continuationSeparator" w:id="0">
    <w:p w14:paraId="586916F2" w14:textId="77777777" w:rsidR="0086255D" w:rsidRDefault="0086255D" w:rsidP="00862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50AC" w14:textId="058C6502" w:rsidR="0086255D" w:rsidRDefault="0086255D">
    <w:pPr>
      <w:pStyle w:val="Header"/>
    </w:pPr>
    <w:r w:rsidRPr="008D7B34">
      <w:rPr>
        <w:rFonts w:ascii="Gotham Book" w:hAnsi="Gotham Book"/>
        <w:noProof/>
      </w:rPr>
      <w:drawing>
        <wp:anchor distT="0" distB="0" distL="114300" distR="114300" simplePos="0" relativeHeight="251659264" behindDoc="1" locked="0" layoutInCell="1" allowOverlap="1" wp14:anchorId="71C012A7" wp14:editId="55E55B41">
          <wp:simplePos x="0" y="0"/>
          <wp:positionH relativeFrom="column">
            <wp:posOffset>-39118</wp:posOffset>
          </wp:positionH>
          <wp:positionV relativeFrom="paragraph">
            <wp:posOffset>-224692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8B40F" w14:textId="77777777" w:rsidR="0086255D" w:rsidRDefault="00862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2C96"/>
    <w:multiLevelType w:val="hybridMultilevel"/>
    <w:tmpl w:val="52EED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F0C3B"/>
    <w:multiLevelType w:val="hybridMultilevel"/>
    <w:tmpl w:val="52EED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4284934"/>
    <w:multiLevelType w:val="hybridMultilevel"/>
    <w:tmpl w:val="52EED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A807D01"/>
    <w:multiLevelType w:val="hybridMultilevel"/>
    <w:tmpl w:val="52EED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6002D1C"/>
    <w:multiLevelType w:val="hybridMultilevel"/>
    <w:tmpl w:val="52EED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892667">
    <w:abstractNumId w:val="4"/>
  </w:num>
  <w:num w:numId="2" w16cid:durableId="1407874403">
    <w:abstractNumId w:val="3"/>
  </w:num>
  <w:num w:numId="3" w16cid:durableId="531069408">
    <w:abstractNumId w:val="2"/>
  </w:num>
  <w:num w:numId="4" w16cid:durableId="785123261">
    <w:abstractNumId w:val="0"/>
  </w:num>
  <w:num w:numId="5" w16cid:durableId="1710716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B92"/>
    <w:rsid w:val="00033AD7"/>
    <w:rsid w:val="000826A6"/>
    <w:rsid w:val="000F6E08"/>
    <w:rsid w:val="00174C7F"/>
    <w:rsid w:val="00175AB6"/>
    <w:rsid w:val="001B4B2F"/>
    <w:rsid w:val="003432EC"/>
    <w:rsid w:val="003540A8"/>
    <w:rsid w:val="003615A3"/>
    <w:rsid w:val="0042206B"/>
    <w:rsid w:val="00433888"/>
    <w:rsid w:val="0046681A"/>
    <w:rsid w:val="004961DD"/>
    <w:rsid w:val="004B14CF"/>
    <w:rsid w:val="00502605"/>
    <w:rsid w:val="0051226C"/>
    <w:rsid w:val="005459AE"/>
    <w:rsid w:val="0058710B"/>
    <w:rsid w:val="005A1B92"/>
    <w:rsid w:val="005E6002"/>
    <w:rsid w:val="0065438C"/>
    <w:rsid w:val="00681031"/>
    <w:rsid w:val="006E08A2"/>
    <w:rsid w:val="007471E4"/>
    <w:rsid w:val="007B0794"/>
    <w:rsid w:val="00817EA2"/>
    <w:rsid w:val="008235B5"/>
    <w:rsid w:val="008433C2"/>
    <w:rsid w:val="00850DC6"/>
    <w:rsid w:val="0086255D"/>
    <w:rsid w:val="008C77AB"/>
    <w:rsid w:val="00911D52"/>
    <w:rsid w:val="00935F4C"/>
    <w:rsid w:val="009421B4"/>
    <w:rsid w:val="00951600"/>
    <w:rsid w:val="00951A9D"/>
    <w:rsid w:val="00963012"/>
    <w:rsid w:val="00997F26"/>
    <w:rsid w:val="009B7378"/>
    <w:rsid w:val="009F7AC1"/>
    <w:rsid w:val="00A17ACF"/>
    <w:rsid w:val="00A725B4"/>
    <w:rsid w:val="00A763A1"/>
    <w:rsid w:val="00AA74DF"/>
    <w:rsid w:val="00B21B54"/>
    <w:rsid w:val="00B3356A"/>
    <w:rsid w:val="00BB621C"/>
    <w:rsid w:val="00BB6FFD"/>
    <w:rsid w:val="00BD507D"/>
    <w:rsid w:val="00BD67E1"/>
    <w:rsid w:val="00C461C4"/>
    <w:rsid w:val="00C630F2"/>
    <w:rsid w:val="00CC0A05"/>
    <w:rsid w:val="00CE07CC"/>
    <w:rsid w:val="00CF58DB"/>
    <w:rsid w:val="00D00EAD"/>
    <w:rsid w:val="00D021AA"/>
    <w:rsid w:val="00D639AE"/>
    <w:rsid w:val="00E03615"/>
    <w:rsid w:val="00E3225C"/>
    <w:rsid w:val="00E64E39"/>
    <w:rsid w:val="00E7350C"/>
    <w:rsid w:val="00E870A0"/>
    <w:rsid w:val="00F0566A"/>
    <w:rsid w:val="00F06F97"/>
    <w:rsid w:val="00F13186"/>
    <w:rsid w:val="00F17509"/>
    <w:rsid w:val="00FA3E91"/>
    <w:rsid w:val="00FE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B1B6F"/>
  <w15:chartTrackingRefBased/>
  <w15:docId w15:val="{BEEDFA8A-3E50-4FFA-A551-61879D17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FFD"/>
    <w:rPr>
      <w:rFonts w:asciiTheme="minorHAnsi" w:hAnsiTheme="minorHAnsi"/>
    </w:rPr>
  </w:style>
  <w:style w:type="paragraph" w:styleId="Heading1">
    <w:name w:val="heading 1"/>
    <w:basedOn w:val="Normal"/>
    <w:next w:val="Normal"/>
    <w:link w:val="Heading1Char"/>
    <w:uiPriority w:val="9"/>
    <w:qFormat/>
    <w:rsid w:val="005A1B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B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B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B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B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B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B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B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B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B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B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B9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B9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A1B9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A1B9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1B9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1B9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1B9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1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B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B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B9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1B92"/>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5A1B92"/>
    <w:rPr>
      <w:i/>
      <w:iCs/>
      <w:color w:val="404040" w:themeColor="text1" w:themeTint="BF"/>
    </w:rPr>
  </w:style>
  <w:style w:type="paragraph" w:styleId="ListParagraph">
    <w:name w:val="List Paragraph"/>
    <w:basedOn w:val="Normal"/>
    <w:uiPriority w:val="34"/>
    <w:qFormat/>
    <w:rsid w:val="005A1B92"/>
    <w:pPr>
      <w:ind w:left="720"/>
      <w:contextualSpacing/>
    </w:pPr>
    <w:rPr>
      <w:rFonts w:ascii="Gotham Book" w:hAnsi="Gotham Book"/>
    </w:rPr>
  </w:style>
  <w:style w:type="character" w:styleId="IntenseEmphasis">
    <w:name w:val="Intense Emphasis"/>
    <w:basedOn w:val="DefaultParagraphFont"/>
    <w:uiPriority w:val="21"/>
    <w:qFormat/>
    <w:rsid w:val="005A1B92"/>
    <w:rPr>
      <w:i/>
      <w:iCs/>
      <w:color w:val="0F4761" w:themeColor="accent1" w:themeShade="BF"/>
    </w:rPr>
  </w:style>
  <w:style w:type="paragraph" w:styleId="IntenseQuote">
    <w:name w:val="Intense Quote"/>
    <w:basedOn w:val="Normal"/>
    <w:next w:val="Normal"/>
    <w:link w:val="IntenseQuoteChar"/>
    <w:uiPriority w:val="30"/>
    <w:qFormat/>
    <w:rsid w:val="005A1B92"/>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5A1B92"/>
    <w:rPr>
      <w:i/>
      <w:iCs/>
      <w:color w:val="0F4761" w:themeColor="accent1" w:themeShade="BF"/>
    </w:rPr>
  </w:style>
  <w:style w:type="character" w:styleId="IntenseReference">
    <w:name w:val="Intense Reference"/>
    <w:basedOn w:val="DefaultParagraphFont"/>
    <w:uiPriority w:val="32"/>
    <w:qFormat/>
    <w:rsid w:val="005A1B92"/>
    <w:rPr>
      <w:b/>
      <w:bCs/>
      <w:smallCaps/>
      <w:color w:val="0F4761" w:themeColor="accent1" w:themeShade="BF"/>
      <w:spacing w:val="5"/>
    </w:rPr>
  </w:style>
  <w:style w:type="character" w:styleId="Strong">
    <w:name w:val="Strong"/>
    <w:basedOn w:val="DefaultParagraphFont"/>
    <w:uiPriority w:val="22"/>
    <w:qFormat/>
    <w:rsid w:val="0086255D"/>
    <w:rPr>
      <w:b/>
      <w:bCs/>
    </w:rPr>
  </w:style>
  <w:style w:type="table" w:styleId="TableGrid">
    <w:name w:val="Table Grid"/>
    <w:basedOn w:val="TableNormal"/>
    <w:uiPriority w:val="39"/>
    <w:rsid w:val="0086255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2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55D"/>
    <w:rPr>
      <w:rFonts w:asciiTheme="minorHAnsi" w:hAnsiTheme="minorHAnsi"/>
    </w:rPr>
  </w:style>
  <w:style w:type="paragraph" w:styleId="Footer">
    <w:name w:val="footer"/>
    <w:basedOn w:val="Normal"/>
    <w:link w:val="FooterChar"/>
    <w:uiPriority w:val="99"/>
    <w:unhideWhenUsed/>
    <w:rsid w:val="00862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55D"/>
    <w:rPr>
      <w:rFonts w:asciiTheme="minorHAnsi" w:hAnsiTheme="minorHAnsi"/>
    </w:rPr>
  </w:style>
  <w:style w:type="paragraph" w:styleId="Revision">
    <w:name w:val="Revision"/>
    <w:hidden/>
    <w:uiPriority w:val="99"/>
    <w:semiHidden/>
    <w:rsid w:val="00951A9D"/>
    <w:pPr>
      <w:spacing w:after="0" w:line="240" w:lineRule="auto"/>
    </w:pPr>
    <w:rPr>
      <w:rFonts w:asciiTheme="minorHAnsi" w:hAnsiTheme="minorHAnsi"/>
    </w:rPr>
  </w:style>
  <w:style w:type="character" w:styleId="CommentReference">
    <w:name w:val="annotation reference"/>
    <w:basedOn w:val="DefaultParagraphFont"/>
    <w:uiPriority w:val="99"/>
    <w:semiHidden/>
    <w:unhideWhenUsed/>
    <w:rsid w:val="00D021AA"/>
    <w:rPr>
      <w:sz w:val="16"/>
      <w:szCs w:val="16"/>
    </w:rPr>
  </w:style>
  <w:style w:type="paragraph" w:styleId="CommentText">
    <w:name w:val="annotation text"/>
    <w:basedOn w:val="Normal"/>
    <w:link w:val="CommentTextChar"/>
    <w:uiPriority w:val="99"/>
    <w:unhideWhenUsed/>
    <w:rsid w:val="00D021AA"/>
    <w:pPr>
      <w:spacing w:line="240" w:lineRule="auto"/>
    </w:pPr>
    <w:rPr>
      <w:sz w:val="20"/>
      <w:szCs w:val="20"/>
    </w:rPr>
  </w:style>
  <w:style w:type="character" w:customStyle="1" w:styleId="CommentTextChar">
    <w:name w:val="Comment Text Char"/>
    <w:basedOn w:val="DefaultParagraphFont"/>
    <w:link w:val="CommentText"/>
    <w:uiPriority w:val="99"/>
    <w:rsid w:val="00D021A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D021AA"/>
    <w:rPr>
      <w:b/>
      <w:bCs/>
    </w:rPr>
  </w:style>
  <w:style w:type="character" w:customStyle="1" w:styleId="CommentSubjectChar">
    <w:name w:val="Comment Subject Char"/>
    <w:basedOn w:val="CommentTextChar"/>
    <w:link w:val="CommentSubject"/>
    <w:uiPriority w:val="99"/>
    <w:semiHidden/>
    <w:rsid w:val="00D021AA"/>
    <w:rPr>
      <w:rFonts w:asciiTheme="minorHAnsi" w:hAnsiTheme="minorHAnsi"/>
      <w:b/>
      <w:bCs/>
      <w:sz w:val="20"/>
      <w:szCs w:val="20"/>
    </w:rPr>
  </w:style>
  <w:style w:type="character" w:styleId="PlaceholderText">
    <w:name w:val="Placeholder Text"/>
    <w:basedOn w:val="DefaultParagraphFont"/>
    <w:uiPriority w:val="99"/>
    <w:semiHidden/>
    <w:rsid w:val="00CC0A0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159B6F-8CD2-4333-92BF-BF86BBC47315}">
  <ds:schemaRefs>
    <ds:schemaRef ds:uri="http://schemas.microsoft.com/sharepoint/v3/contenttype/forms"/>
  </ds:schemaRefs>
</ds:datastoreItem>
</file>

<file path=customXml/itemProps2.xml><?xml version="1.0" encoding="utf-8"?>
<ds:datastoreItem xmlns:ds="http://schemas.openxmlformats.org/officeDocument/2006/customXml" ds:itemID="{17A5A0E0-AFFD-48F0-8045-4B063ED0B641}">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2CEDBED0-B34B-479F-9929-ACFADABBF8CD}"/>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189</TotalTime>
  <Pages>4</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2025-09-25T20:17:00Z</dcterms:created>
  <dcterms:modified xsi:type="dcterms:W3CDTF">2026-04-15T23:51:00Z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