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EF55" w14:textId="7728C774" w:rsidR="00185AF0" w:rsidRPr="00D259C0" w:rsidRDefault="00185AF0" w:rsidP="00185AF0">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181959139"/>
      <w:bookmarkStart w:id="2" w:name="_Hlk185500731"/>
      <w:bookmarkStart w:id="3" w:name="_Hlk215735545"/>
      <w:r w:rsidRPr="00D259C0">
        <w:rPr>
          <w:rStyle w:val="Strong"/>
          <w:rFonts w:ascii="Gotham Book" w:hAnsi="Gotham Book"/>
          <w:b w:val="0"/>
          <w:bCs w:val="0"/>
          <w:color w:val="000000" w:themeColor="text1"/>
          <w:sz w:val="48"/>
          <w:szCs w:val="18"/>
          <w:lang w:val="es-MX"/>
        </w:rPr>
        <w:t xml:space="preserve">Texas Hoy </w:t>
      </w:r>
      <w:bookmarkEnd w:id="0"/>
      <w:r w:rsidRPr="00D259C0">
        <w:rPr>
          <w:rStyle w:val="Strong"/>
          <w:rFonts w:ascii="Gotham Book" w:hAnsi="Gotham Book"/>
          <w:i/>
          <w:iCs/>
          <w:color w:val="747474" w:themeColor="background2" w:themeShade="80"/>
          <w:sz w:val="44"/>
          <w:szCs w:val="44"/>
          <w:lang w:val="es-MX"/>
        </w:rPr>
        <w:t>en Día</w:t>
      </w:r>
    </w:p>
    <w:p w14:paraId="32B14DD9" w14:textId="3B95F0E9" w:rsidR="00185AF0" w:rsidRPr="00D259C0" w:rsidRDefault="00185AF0" w:rsidP="00185AF0">
      <w:pPr>
        <w:spacing w:after="0" w:line="240" w:lineRule="auto"/>
        <w:jc w:val="center"/>
        <w:rPr>
          <w:rFonts w:ascii="Gotham Book" w:hAnsi="Gotham Book"/>
          <w:i/>
          <w:iCs/>
          <w:color w:val="595959" w:themeColor="text1" w:themeTint="A6"/>
          <w:sz w:val="34"/>
          <w:szCs w:val="44"/>
          <w:lang w:val="es-MX"/>
        </w:rPr>
      </w:pPr>
      <w:r w:rsidRPr="00D259C0">
        <w:rPr>
          <w:rFonts w:ascii="Gotham Book" w:hAnsi="Gotham Book"/>
          <w:i/>
          <w:iCs/>
          <w:color w:val="595959" w:themeColor="text1" w:themeTint="A6"/>
          <w:sz w:val="34"/>
          <w:szCs w:val="44"/>
          <w:lang w:val="es-MX"/>
        </w:rPr>
        <w:t>Unidad 10: Algodón, ganado y ferrocarriles</w:t>
      </w:r>
    </w:p>
    <w:p w14:paraId="570439A0" w14:textId="77777777" w:rsidR="00185AF0" w:rsidRPr="00D259C0" w:rsidRDefault="00185AF0" w:rsidP="00185AF0">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185AF0" w:rsidRPr="008D7B34" w14:paraId="22CE744C" w14:textId="77777777" w:rsidTr="000E54A3">
        <w:trPr>
          <w:trHeight w:val="511"/>
        </w:trPr>
        <w:tc>
          <w:tcPr>
            <w:tcW w:w="1023" w:type="dxa"/>
            <w:tcBorders>
              <w:top w:val="nil"/>
              <w:left w:val="nil"/>
              <w:bottom w:val="nil"/>
              <w:right w:val="single" w:sz="4" w:space="0" w:color="auto"/>
            </w:tcBorders>
            <w:vAlign w:val="bottom"/>
          </w:tcPr>
          <w:p w14:paraId="58238704" w14:textId="77777777" w:rsidR="00185AF0" w:rsidRPr="008D7B34" w:rsidRDefault="00185AF0" w:rsidP="000E54A3">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65FF80C3" w14:textId="77777777" w:rsidR="00185AF0" w:rsidRPr="008D7B34" w:rsidRDefault="00185AF0" w:rsidP="000E54A3">
            <w:pPr>
              <w:rPr>
                <w:rFonts w:ascii="Gotham Book" w:hAnsi="Gotham Book"/>
              </w:rPr>
            </w:pPr>
          </w:p>
        </w:tc>
        <w:tc>
          <w:tcPr>
            <w:tcW w:w="875" w:type="dxa"/>
            <w:tcBorders>
              <w:top w:val="nil"/>
              <w:left w:val="single" w:sz="4" w:space="0" w:color="auto"/>
              <w:bottom w:val="nil"/>
              <w:right w:val="single" w:sz="4" w:space="0" w:color="auto"/>
            </w:tcBorders>
            <w:vAlign w:val="bottom"/>
          </w:tcPr>
          <w:p w14:paraId="15FBB0A7" w14:textId="77777777" w:rsidR="00185AF0" w:rsidRPr="008D7B34" w:rsidRDefault="00185AF0" w:rsidP="000E54A3">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3B4BB26" w14:textId="77777777" w:rsidR="00185AF0" w:rsidRPr="008D7B34" w:rsidRDefault="00185AF0" w:rsidP="000E54A3">
            <w:pPr>
              <w:rPr>
                <w:rFonts w:ascii="Gotham Book" w:hAnsi="Gotham Book"/>
              </w:rPr>
            </w:pPr>
          </w:p>
        </w:tc>
        <w:tc>
          <w:tcPr>
            <w:tcW w:w="1071" w:type="dxa"/>
            <w:tcBorders>
              <w:top w:val="nil"/>
              <w:left w:val="single" w:sz="4" w:space="0" w:color="auto"/>
              <w:bottom w:val="nil"/>
              <w:right w:val="single" w:sz="4" w:space="0" w:color="auto"/>
            </w:tcBorders>
            <w:vAlign w:val="bottom"/>
          </w:tcPr>
          <w:p w14:paraId="777CA1C1" w14:textId="77777777" w:rsidR="00185AF0" w:rsidRPr="008D7B34" w:rsidRDefault="00185AF0" w:rsidP="000E54A3">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3565A2F" w14:textId="77777777" w:rsidR="00185AF0" w:rsidRPr="008D7B34" w:rsidRDefault="00185AF0" w:rsidP="000E54A3">
            <w:pPr>
              <w:rPr>
                <w:rFonts w:ascii="Gotham Book" w:hAnsi="Gotham Book"/>
              </w:rPr>
            </w:pPr>
          </w:p>
        </w:tc>
      </w:tr>
    </w:tbl>
    <w:p w14:paraId="65505C6D" w14:textId="77777777" w:rsidR="00185AF0" w:rsidRPr="009E4B72" w:rsidRDefault="00185AF0" w:rsidP="00185AF0">
      <w:pPr>
        <w:rPr>
          <w:sz w:val="14"/>
          <w:szCs w:val="14"/>
        </w:rPr>
      </w:pPr>
    </w:p>
    <w:bookmarkEnd w:id="1"/>
    <w:bookmarkEnd w:id="2"/>
    <w:p w14:paraId="18293B15" w14:textId="48399160" w:rsidR="00FD2265" w:rsidRPr="00D259C0" w:rsidRDefault="00A43FA2" w:rsidP="00A43FA2">
      <w:pPr>
        <w:jc w:val="center"/>
        <w:rPr>
          <w:rFonts w:ascii="Gotham Book" w:hAnsi="Gotham Book"/>
          <w:b/>
          <w:bCs/>
          <w:sz w:val="36"/>
          <w:szCs w:val="48"/>
          <w:lang w:val="es-MX"/>
        </w:rPr>
      </w:pPr>
      <w:r w:rsidRPr="00D259C0">
        <w:rPr>
          <w:rFonts w:ascii="Gotham Book" w:hAnsi="Gotham Book"/>
          <w:b/>
          <w:bCs/>
          <w:sz w:val="36"/>
          <w:szCs w:val="48"/>
          <w:lang w:val="es-MX"/>
        </w:rPr>
        <w:t xml:space="preserve">Parte I: </w:t>
      </w:r>
      <w:r w:rsidR="00185AF0" w:rsidRPr="00D259C0">
        <w:rPr>
          <w:rFonts w:ascii="Gotham Book" w:hAnsi="Gotham Book"/>
          <w:sz w:val="36"/>
          <w:szCs w:val="48"/>
          <w:lang w:val="es-MX"/>
        </w:rPr>
        <w:t>La Comisión de Ferrocarriles de Texas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16"/>
      </w:tblGrid>
      <w:tr w:rsidR="00185AF0" w14:paraId="27B10B2A" w14:textId="77777777" w:rsidTr="009E4B72">
        <w:tc>
          <w:tcPr>
            <w:tcW w:w="3834" w:type="dxa"/>
          </w:tcPr>
          <w:p w14:paraId="4B156A2B" w14:textId="174580AB" w:rsidR="00185AF0" w:rsidRPr="00D259C0" w:rsidRDefault="009A7ABD" w:rsidP="009A7ABD">
            <w:pPr>
              <w:spacing w:line="276" w:lineRule="auto"/>
              <w:rPr>
                <w:rFonts w:ascii="Gotham Book" w:hAnsi="Gotham Book"/>
                <w:lang w:val="es-MX"/>
              </w:rPr>
            </w:pPr>
            <w:r w:rsidRPr="00D259C0">
              <w:rPr>
                <w:rFonts w:ascii="Gotham Book" w:hAnsi="Gotham Book"/>
                <w:lang w:val="es-MX"/>
              </w:rPr>
              <w:t xml:space="preserve">La Comisión de Ferrocarriles de Texas fue establecida por la legislatura estatal bajo el gobernador James Hogg en 1891 para regular los ferrocarriles a medida que se expandían por todo el estado. </w:t>
            </w:r>
          </w:p>
          <w:p w14:paraId="256F2F66" w14:textId="77777777" w:rsidR="009A7ABD" w:rsidRPr="00D259C0" w:rsidRDefault="009A7ABD" w:rsidP="009A7ABD">
            <w:pPr>
              <w:spacing w:line="276" w:lineRule="auto"/>
              <w:rPr>
                <w:rFonts w:ascii="Gotham Book" w:hAnsi="Gotham Book"/>
                <w:sz w:val="8"/>
                <w:szCs w:val="8"/>
                <w:lang w:val="es-MX"/>
              </w:rPr>
            </w:pPr>
          </w:p>
          <w:p w14:paraId="1877244B" w14:textId="15AA8C25" w:rsidR="009E4B72" w:rsidRPr="00D259C0" w:rsidRDefault="009A7ABD" w:rsidP="009A7ABD">
            <w:pPr>
              <w:spacing w:line="276" w:lineRule="auto"/>
              <w:rPr>
                <w:rFonts w:ascii="Gotham Book" w:hAnsi="Gotham Book"/>
                <w:lang w:val="es-MX"/>
              </w:rPr>
            </w:pPr>
            <w:r w:rsidRPr="00D259C0">
              <w:rPr>
                <w:rFonts w:ascii="Gotham Book" w:hAnsi="Gotham Book"/>
                <w:lang w:val="es-MX"/>
              </w:rPr>
              <w:t xml:space="preserve">Hoy en día, la Comisión de Ferrocarriles se ha convertido en uno de los organismos reguladores más importantes de todo Estados Unidos. </w:t>
            </w:r>
          </w:p>
          <w:p w14:paraId="0AB91AEE" w14:textId="77777777" w:rsidR="009E4B72" w:rsidRPr="00D259C0" w:rsidRDefault="009E4B72" w:rsidP="009A7ABD">
            <w:pPr>
              <w:spacing w:line="276" w:lineRule="auto"/>
              <w:rPr>
                <w:rFonts w:ascii="Gotham Book" w:hAnsi="Gotham Book"/>
                <w:sz w:val="8"/>
                <w:szCs w:val="8"/>
                <w:lang w:val="es-MX"/>
              </w:rPr>
            </w:pPr>
          </w:p>
          <w:p w14:paraId="7AB84D56" w14:textId="7C643EC1" w:rsidR="009A7ABD" w:rsidRPr="00D259C0" w:rsidRDefault="009E4B72" w:rsidP="009A7ABD">
            <w:pPr>
              <w:spacing w:line="276" w:lineRule="auto"/>
              <w:rPr>
                <w:rFonts w:ascii="Gotham Book" w:hAnsi="Gotham Book"/>
                <w:lang w:val="es-MX"/>
              </w:rPr>
            </w:pPr>
            <w:r w:rsidRPr="00D259C0">
              <w:rPr>
                <w:rFonts w:ascii="Gotham Book" w:hAnsi="Gotham Book"/>
                <w:lang w:val="es-MX"/>
              </w:rPr>
              <w:t xml:space="preserve">Entonces, ¿cómo ha pasado esto? ¡Vamos a echar un vistazo! </w:t>
            </w:r>
          </w:p>
        </w:tc>
        <w:tc>
          <w:tcPr>
            <w:tcW w:w="5616" w:type="dxa"/>
          </w:tcPr>
          <w:p w14:paraId="4E818F72" w14:textId="77777777" w:rsidR="009A7ABD" w:rsidRDefault="00185AF0" w:rsidP="009A7ABD">
            <w:pPr>
              <w:keepNext/>
              <w:jc w:val="center"/>
            </w:pPr>
            <w:r w:rsidRPr="00185AF0">
              <w:rPr>
                <w:rFonts w:ascii="Gotham Book" w:hAnsi="Gotham Book"/>
                <w:noProof/>
              </w:rPr>
              <w:drawing>
                <wp:inline distT="0" distB="0" distL="0" distR="0" wp14:anchorId="1EC4C441" wp14:editId="04CFDB89">
                  <wp:extent cx="3318551" cy="1856049"/>
                  <wp:effectExtent l="95250" t="19050" r="15240" b="87630"/>
                  <wp:docPr id="213745663" name="Picture 1" descr="Una fotografía granulada en blanco y negro de un vagón de tren se detuvo en las vías con dos hombres delante de é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5663" name="Picture 1" descr="A grainy black and white photograph of a railroad car stopped on the tracks with two men standing in front of it. "/>
                          <pic:cNvPicPr/>
                        </pic:nvPicPr>
                        <pic:blipFill>
                          <a:blip r:embed="rId11"/>
                          <a:stretch>
                            <a:fillRect/>
                          </a:stretch>
                        </pic:blipFill>
                        <pic:spPr>
                          <a:xfrm>
                            <a:off x="0" y="0"/>
                            <a:ext cx="3353073" cy="1875357"/>
                          </a:xfrm>
                          <a:prstGeom prst="rect">
                            <a:avLst/>
                          </a:prstGeom>
                          <a:effectLst>
                            <a:outerShdw blurRad="50800" dist="50800" dir="7920000" algn="ctr" rotWithShape="0">
                              <a:srgbClr val="000000">
                                <a:alpha val="43137"/>
                              </a:srgbClr>
                            </a:outerShdw>
                          </a:effectLst>
                        </pic:spPr>
                      </pic:pic>
                    </a:graphicData>
                  </a:graphic>
                </wp:inline>
              </w:drawing>
            </w:r>
          </w:p>
          <w:p w14:paraId="035720E3" w14:textId="30B914CE" w:rsidR="009E4B72" w:rsidRDefault="009A7ABD" w:rsidP="009E4B72">
            <w:pPr>
              <w:pStyle w:val="Caption"/>
              <w:spacing w:after="0"/>
              <w:jc w:val="center"/>
            </w:pPr>
            <w:r w:rsidRPr="00D259C0">
              <w:rPr>
                <w:lang w:val="es-MX"/>
              </w:rPr>
              <w:t xml:space="preserve">Figura </w:t>
            </w:r>
            <w:r w:rsidR="00436A46">
              <w:fldChar w:fldCharType="begin"/>
            </w:r>
            <w:r w:rsidR="00436A46" w:rsidRPr="00D259C0">
              <w:rPr>
                <w:lang w:val="es-MX"/>
              </w:rPr>
              <w:instrText xml:space="preserve"> SEQ Figure \* ARABIC </w:instrText>
            </w:r>
            <w:r w:rsidR="00436A46">
              <w:fldChar w:fldCharType="separate"/>
            </w:r>
            <w:r w:rsidR="00436A46" w:rsidRPr="00D259C0">
              <w:rPr>
                <w:noProof/>
                <w:lang w:val="es-MX"/>
              </w:rPr>
              <w:t>1</w:t>
            </w:r>
            <w:r w:rsidR="00436A46">
              <w:rPr>
                <w:noProof/>
              </w:rPr>
              <w:fldChar w:fldCharType="end"/>
            </w:r>
            <w:r w:rsidRPr="00D259C0">
              <w:rPr>
                <w:lang w:val="es-MX"/>
              </w:rPr>
              <w:t xml:space="preserve">: Un ferrocarril en Longview, Texas. </w:t>
            </w:r>
            <w:r>
              <w:t xml:space="preserve">1870. </w:t>
            </w:r>
          </w:p>
          <w:p w14:paraId="0B7BCE96" w14:textId="3525B9D6" w:rsidR="00185AF0" w:rsidRDefault="009A7ABD" w:rsidP="009E4B72">
            <w:pPr>
              <w:pStyle w:val="Caption"/>
              <w:spacing w:after="0"/>
              <w:jc w:val="center"/>
              <w:rPr>
                <w:rFonts w:ascii="Gotham Book" w:hAnsi="Gotham Book"/>
              </w:rPr>
            </w:pPr>
            <w:r>
              <w:t>El portal a la historia de Texas.</w:t>
            </w:r>
          </w:p>
        </w:tc>
      </w:tr>
    </w:tbl>
    <w:p w14:paraId="7948B792" w14:textId="77777777" w:rsidR="00185AF0" w:rsidRDefault="00185AF0" w:rsidP="00185AF0">
      <w:pPr>
        <w:rPr>
          <w:rFonts w:ascii="Gotham Book" w:hAnsi="Gotham Book"/>
          <w:sz w:val="2"/>
          <w:szCs w:val="2"/>
        </w:rPr>
      </w:pPr>
    </w:p>
    <w:p w14:paraId="783DB3C0" w14:textId="5D5950A3" w:rsidR="00436A46" w:rsidRPr="00D259C0" w:rsidRDefault="00436A46" w:rsidP="00185AF0">
      <w:pPr>
        <w:rPr>
          <w:rFonts w:ascii="Gotham Book" w:hAnsi="Gotham Book"/>
          <w:lang w:val="es-MX"/>
        </w:rPr>
      </w:pPr>
      <w:r w:rsidRPr="00D259C0">
        <w:rPr>
          <w:rFonts w:ascii="Gotham Book" w:hAnsi="Gotham Book"/>
          <w:lang w:val="es-MX"/>
        </w:rPr>
        <w:t xml:space="preserve">Entre 1870 y 1900, los ferrocarriles se expandieron rápidamente por Texas, y muchos agricultores del este de Texas usaban los ferrocarriles para enviar sus cosechas de algodón al mercado. De hecho, en muchos lugares, el </w:t>
      </w:r>
      <w:r w:rsidRPr="00D259C0">
        <w:rPr>
          <w:rFonts w:ascii="Gotham Book" w:hAnsi="Gotham Book"/>
          <w:b/>
          <w:bCs/>
          <w:i/>
          <w:iCs/>
          <w:lang w:val="es-MX"/>
        </w:rPr>
        <w:t>único</w:t>
      </w:r>
      <w:r w:rsidRPr="00D259C0">
        <w:rPr>
          <w:rFonts w:ascii="Gotham Book" w:hAnsi="Gotham Book"/>
          <w:lang w:val="es-MX"/>
        </w:rPr>
        <w:t xml:space="preserve"> medio de transporte disponible para el envío de cultivos era el ferrocarril. Con poca competencia, las compañías ferroviarias a menudo cobraban tarifas elevadas para enviar mercancías, lo que dificultaba mucho a muchos agricultores que ya sufrían debido a la caída de los precios del algodón. </w:t>
      </w:r>
    </w:p>
    <w:p w14:paraId="23BB7085" w14:textId="4A9D960D" w:rsidR="00436A46" w:rsidRDefault="009E4B72" w:rsidP="00185AF0">
      <w:pPr>
        <w:rPr>
          <w:rFonts w:ascii="Gotham Book" w:hAnsi="Gotham Book"/>
        </w:rPr>
      </w:pPr>
      <w:r>
        <w:rPr>
          <w:noProof/>
          <w:color w:val="757575"/>
          <w:sz w:val="28"/>
          <w:szCs w:val="28"/>
          <w:bdr w:val="none" w:sz="0" w:space="0" w:color="auto" w:frame="1"/>
        </w:rPr>
        <w:lastRenderedPageBreak/>
        <w:drawing>
          <wp:inline distT="0" distB="0" distL="0" distR="0" wp14:anchorId="4DA7289B" wp14:editId="7AC58FEE">
            <wp:extent cx="5943600" cy="2592705"/>
            <wp:effectExtent l="0" t="0" r="0" b="0"/>
            <wp:docPr id="1365093145" name="Picture 1" descr="Dos mapas que muestran el desarrollo de las líneas ferroviarias en Texas desde 1870 hasta 1890. &#10;El mapa de 1870 muestra solo unas pocas líneas cortas que parten de Houston y se extienden 100 millas o menos en 4 direcciones. &#10;El mapa de 1890 muestra líneas ferroviarias cruzándose por toda la parte oriental del estado, con grandes núcleos que se originan en Houston, Dallas y Fort Worth, y varias líneas que se extienden hacia el oeste hasta la región del Panhandle y las Montañas y Cuencas Mág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93145" name="Picture 1" descr="Two maps showing the development of railroad lines in Texas from 1870 to 1890.&#10;The 1870 map shows only a a few short lines originating in Houston and extending 100 miles or less out in 4 directions.&#10;The 1890 map shows railroad lines crisscrossing across the entire eastern portion of the state, with major hubs originating in Houston, Dallas, and Fort Worth, and several lines extending west into the Panhandle and the Mountains and Basins reg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592705"/>
                    </a:xfrm>
                    <a:prstGeom prst="rect">
                      <a:avLst/>
                    </a:prstGeom>
                    <a:noFill/>
                    <a:ln>
                      <a:noFill/>
                    </a:ln>
                  </pic:spPr>
                </pic:pic>
              </a:graphicData>
            </a:graphic>
          </wp:inline>
        </w:drawing>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2"/>
        <w:gridCol w:w="5868"/>
      </w:tblGrid>
      <w:tr w:rsidR="00436A46" w:rsidRPr="00D259C0" w14:paraId="7D63B842" w14:textId="77777777" w:rsidTr="00112FC6">
        <w:tc>
          <w:tcPr>
            <w:tcW w:w="3582" w:type="dxa"/>
          </w:tcPr>
          <w:p w14:paraId="7531FD0E" w14:textId="3F5C1045" w:rsidR="00436A46" w:rsidRPr="00D259C0" w:rsidRDefault="00D619AC" w:rsidP="00D619AC">
            <w:pPr>
              <w:spacing w:line="276" w:lineRule="auto"/>
              <w:rPr>
                <w:rFonts w:ascii="Gotham Book" w:hAnsi="Gotham Book"/>
                <w:lang w:val="es-MX"/>
              </w:rPr>
            </w:pPr>
            <w:r w:rsidRPr="00D259C0">
              <w:rPr>
                <w:rFonts w:ascii="Gotham Book" w:hAnsi="Gotham Book"/>
                <w:lang w:val="es-MX"/>
              </w:rPr>
              <w:t xml:space="preserve">Las altas tarifas ferroviarias fueron solo uno de los mayores desafíos económicos a los que se enfrentaron los agricultores en esa época. La drástica caída en los precios del algodón significó que los agricultores cobraran menos por sus cosechas. </w:t>
            </w:r>
          </w:p>
          <w:p w14:paraId="5C1C0503" w14:textId="77777777" w:rsidR="00D619AC" w:rsidRPr="00D259C0" w:rsidRDefault="00D619AC" w:rsidP="00D619AC">
            <w:pPr>
              <w:spacing w:line="276" w:lineRule="auto"/>
              <w:rPr>
                <w:rFonts w:ascii="Gotham Book" w:hAnsi="Gotham Book"/>
                <w:sz w:val="10"/>
                <w:szCs w:val="10"/>
                <w:lang w:val="es-MX"/>
              </w:rPr>
            </w:pPr>
          </w:p>
          <w:p w14:paraId="76D669A4" w14:textId="7E308588" w:rsidR="00D619AC" w:rsidRPr="00D259C0" w:rsidRDefault="00D619AC" w:rsidP="00D619AC">
            <w:pPr>
              <w:spacing w:line="276" w:lineRule="auto"/>
              <w:rPr>
                <w:rFonts w:ascii="Gotham Book" w:hAnsi="Gotham Book"/>
                <w:lang w:val="es-MX"/>
              </w:rPr>
            </w:pPr>
            <w:r w:rsidRPr="00D259C0">
              <w:rPr>
                <w:rFonts w:ascii="Gotham Book" w:hAnsi="Gotham Book"/>
                <w:lang w:val="es-MX"/>
              </w:rPr>
              <w:t xml:space="preserve">Como resultado, los agricultores cultivaron más algodón con la esperanza de aumentar sus beneficios, pero el incremento de la producción de algodón inundó el mercado, provocando que los precios bajaran aún más. </w:t>
            </w:r>
          </w:p>
        </w:tc>
        <w:tc>
          <w:tcPr>
            <w:tcW w:w="5868" w:type="dxa"/>
          </w:tcPr>
          <w:p w14:paraId="617A7BEE" w14:textId="77777777" w:rsidR="00436A46" w:rsidRDefault="00436A46" w:rsidP="00436A46">
            <w:pPr>
              <w:keepNext/>
              <w:jc w:val="center"/>
            </w:pPr>
            <w:r>
              <w:rPr>
                <w:noProof/>
                <w:color w:val="000000"/>
                <w:bdr w:val="none" w:sz="0" w:space="0" w:color="auto" w:frame="1"/>
              </w:rPr>
              <w:drawing>
                <wp:inline distT="0" distB="0" distL="0" distR="0" wp14:anchorId="60C6E2ED" wp14:editId="31E4243C">
                  <wp:extent cx="3482490" cy="2639028"/>
                  <wp:effectExtent l="0" t="0" r="3810" b="9525"/>
                  <wp:docPr id="1987882961" name="Picture 2" descr="La bandera de la Alianza de Agricultores. Una bandera blanca con una franja negra estrecha en el lado izquierdo y una franja negra más grande en el derecho. La tira derecha tiene las palabras Texas 1878 y una estrella. En el centro de la bandera hay una estrecha X negra y entre las líneas de la X están escritas las siguientes fr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82961" name="Picture 2" descr="The Farmer's Alliance banner. A white flag with a narrow black strip on the left side and a larger black strip on the right side. The right strip has the words Texas 1878 and a star on it. In the middle of the flag is a narrow black X and written in between the lines of the X are the following phrases:&#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7716" cy="2680879"/>
                          </a:xfrm>
                          <a:prstGeom prst="rect">
                            <a:avLst/>
                          </a:prstGeom>
                          <a:noFill/>
                          <a:ln>
                            <a:noFill/>
                          </a:ln>
                        </pic:spPr>
                      </pic:pic>
                    </a:graphicData>
                  </a:graphic>
                </wp:inline>
              </w:drawing>
            </w:r>
          </w:p>
          <w:p w14:paraId="1A9FBEB4" w14:textId="15CAE32B" w:rsidR="00436A46" w:rsidRPr="00D259C0" w:rsidRDefault="00436A46" w:rsidP="00436A46">
            <w:pPr>
              <w:pStyle w:val="Caption"/>
              <w:jc w:val="center"/>
              <w:rPr>
                <w:rFonts w:ascii="Gotham Book" w:hAnsi="Gotham Book"/>
                <w:lang w:val="es-MX"/>
              </w:rPr>
            </w:pPr>
            <w:r w:rsidRPr="00D259C0">
              <w:rPr>
                <w:lang w:val="es-MX"/>
              </w:rPr>
              <w:t xml:space="preserve">Figura </w:t>
            </w:r>
            <w:r>
              <w:fldChar w:fldCharType="begin"/>
            </w:r>
            <w:r w:rsidRPr="00D259C0">
              <w:rPr>
                <w:lang w:val="es-MX"/>
              </w:rPr>
              <w:instrText xml:space="preserve"> SEQ Figure \* ARABIC </w:instrText>
            </w:r>
            <w:r>
              <w:fldChar w:fldCharType="separate"/>
            </w:r>
            <w:r w:rsidRPr="00D259C0">
              <w:rPr>
                <w:noProof/>
                <w:lang w:val="es-MX"/>
              </w:rPr>
              <w:t>2</w:t>
            </w:r>
            <w:r>
              <w:rPr>
                <w:noProof/>
              </w:rPr>
              <w:fldChar w:fldCharType="end"/>
            </w:r>
            <w:r w:rsidRPr="00D259C0">
              <w:rPr>
                <w:lang w:val="es-MX"/>
              </w:rPr>
              <w:t>: La bandera de la Alianza de Campesinos.</w:t>
            </w:r>
          </w:p>
        </w:tc>
      </w:tr>
    </w:tbl>
    <w:p w14:paraId="09F02FD5" w14:textId="3C0F1B15" w:rsidR="00436A46" w:rsidRPr="00D259C0" w:rsidRDefault="00D619AC" w:rsidP="00185AF0">
      <w:pPr>
        <w:rPr>
          <w:rFonts w:ascii="Gotham Book" w:hAnsi="Gotham Book"/>
          <w:lang w:val="es-MX"/>
        </w:rPr>
      </w:pPr>
      <w:r w:rsidRPr="00D259C0">
        <w:rPr>
          <w:rFonts w:ascii="Gotham Book" w:hAnsi="Gotham Book"/>
          <w:lang w:val="es-MX"/>
        </w:rPr>
        <w:t xml:space="preserve">Muchos agricultores se endeudaron sin poder costear sus gastos básicos. Casi la mitad de todos los agricultores de Texas en esa época se dedicaron a la agricultura arrendataria, lo que significa que alquilaban tierras para cultivar y pagaban una parte de su cosecha como alquiler a su terrateniente. A menudo, los bajos ingresos derivados del cultivo de algodón no eran suficientes para cubrir el alquiler y gastos como las tarifas del ferrocarril, lo que llevó a los agricultores a ciclos de creciente deuda. </w:t>
      </w:r>
    </w:p>
    <w:p w14:paraId="0DC9298F" w14:textId="7BE15D15" w:rsidR="00D619AC" w:rsidRPr="00D259C0" w:rsidRDefault="00D619AC" w:rsidP="00185AF0">
      <w:pPr>
        <w:rPr>
          <w:rFonts w:ascii="Gotham Book" w:hAnsi="Gotham Book"/>
          <w:lang w:val="es-MX"/>
        </w:rPr>
      </w:pPr>
      <w:r w:rsidRPr="00D259C0">
        <w:rPr>
          <w:rFonts w:ascii="Gotham Book" w:hAnsi="Gotham Book"/>
          <w:lang w:val="es-MX"/>
        </w:rPr>
        <w:t xml:space="preserve">Durante este periodo, los agricultores organizaron grupos como la Grange y la Farmer's Alliance para apoyar a los agricultores en dificultades y trabajar por reformas políticas que beneficiaran a los agricultores. Una reforma que estas organizaciones de agricultores </w:t>
      </w:r>
      <w:r w:rsidRPr="00D259C0">
        <w:rPr>
          <w:rFonts w:ascii="Gotham Book" w:hAnsi="Gotham Book"/>
          <w:lang w:val="es-MX"/>
        </w:rPr>
        <w:lastRenderedPageBreak/>
        <w:t xml:space="preserve">querían era la regulación gubernamental de los ferrocarriles para evitar que cobraran tarifas excesivas por el transporte de los cultivos algodoneros. </w:t>
      </w:r>
    </w:p>
    <w:p w14:paraId="269C4A9D" w14:textId="71337F58" w:rsidR="00B64873" w:rsidRPr="00D259C0" w:rsidRDefault="00B64873" w:rsidP="00185AF0">
      <w:pPr>
        <w:rPr>
          <w:rFonts w:ascii="Gotham Book" w:hAnsi="Gotham Book"/>
          <w:lang w:val="es-MX"/>
        </w:rPr>
      </w:pPr>
      <w:r w:rsidRPr="00D259C0">
        <w:rPr>
          <w:rFonts w:ascii="Gotham Book" w:hAnsi="Gotham Book"/>
          <w:lang w:val="es-MX"/>
        </w:rPr>
        <w:t xml:space="preserve">En 1891, un hombre llamado James Hogg se presentó a gobernador de Texas. Para ganar el apoyo de los agricultores de todo el estado, Hogg prometió establecer una agencia estatal para regular los ferrocarriles y evitar </w:t>
      </w:r>
      <w:r w:rsidRPr="00D259C0">
        <w:rPr>
          <w:rFonts w:ascii="Gotham Book" w:hAnsi="Gotham Book"/>
          <w:b/>
          <w:bCs/>
          <w:i/>
          <w:iCs/>
          <w:lang w:val="es-MX"/>
        </w:rPr>
        <w:t xml:space="preserve"> la especulación de precios.</w:t>
      </w:r>
      <w:r w:rsidR="000D488B">
        <w:rPr>
          <w:rStyle w:val="FootnoteReference"/>
          <w:rFonts w:ascii="Gotham Book" w:hAnsi="Gotham Book"/>
          <w:b/>
          <w:bCs/>
          <w:i/>
          <w:iCs/>
        </w:rPr>
        <w:footnoteReference w:id="1"/>
      </w:r>
      <w:r w:rsidRPr="00D259C0">
        <w:rPr>
          <w:rFonts w:ascii="Gotham Book" w:hAnsi="Gotham Book"/>
          <w:lang w:val="es-MX"/>
        </w:rPr>
        <w:t xml:space="preserve"> Con el apoyo de la mayoría de los agricultores del estado, así como de la Alianza de Agricultores, Hogg fue elegido gobernador en 1891 y estableció la Comisión de Ferrocarriles para cumplir su promesa de campaña a los agricultores. A pesar de que Hogg estableció la Comisión de Ferrocarriles, la mayoría de los agricultores consideró que la comisión no hacía lo suficiente para regular los ferrocarriles y protegerlos, los precios seguían siendo altos y muchos seguían luchando.</w:t>
      </w:r>
    </w:p>
    <w:p w14:paraId="3615914D" w14:textId="48532838" w:rsidR="00A43FA2" w:rsidRPr="00D259C0" w:rsidRDefault="00B64873" w:rsidP="00185AF0">
      <w:pPr>
        <w:rPr>
          <w:rFonts w:ascii="Gotham Book" w:hAnsi="Gotham Book"/>
          <w:lang w:val="es-MX"/>
        </w:rPr>
      </w:pPr>
      <w:r w:rsidRPr="00D259C0">
        <w:rPr>
          <w:rFonts w:ascii="Gotham Book" w:hAnsi="Gotham Book"/>
          <w:lang w:val="es-MX"/>
        </w:rPr>
        <w:t xml:space="preserve">A principios del siglo XX, se descubrió petróleo en mayor cantidad que nunca antes en Texas. Las responsabilidades de la Comisión de Ferrocarriles se ampliaron para incluir la regulación de la industria petrolera en Texas y, más tarde, sus responsabilidades se ampliaron nuevamente para incluir la regulación del gas natural. Con estas nuevas responsabilidades, la Comisión de Ferrocarriles ha tenido una enorme influencia sobre el suministro y precio del petróleo y el gas natural en todo Estados Unidos, convirtiéndose en una de las agencias reguladoras más importantes del país. </w:t>
      </w:r>
    </w:p>
    <w:p w14:paraId="206E7300" w14:textId="6126A151" w:rsidR="00A43FA2" w:rsidRDefault="00A43FA2" w:rsidP="00A43FA2">
      <w:pPr>
        <w:jc w:val="center"/>
        <w:rPr>
          <w:rFonts w:ascii="Gotham Book" w:hAnsi="Gotham Book"/>
          <w:sz w:val="36"/>
          <w:szCs w:val="48"/>
        </w:rPr>
      </w:pPr>
      <w:r w:rsidRPr="00A43FA2">
        <w:rPr>
          <w:rFonts w:ascii="Gotham Book" w:hAnsi="Gotham Book"/>
          <w:b/>
          <w:bCs/>
          <w:sz w:val="36"/>
          <w:szCs w:val="48"/>
        </w:rPr>
        <w:t>Parte II</w:t>
      </w:r>
      <w:r w:rsidRPr="00A43FA2">
        <w:rPr>
          <w:rFonts w:ascii="Gotham Book" w:hAnsi="Gotham Book"/>
          <w:sz w:val="36"/>
          <w:szCs w:val="48"/>
        </w:rPr>
        <w:t>: Preguntas de comprensión</w:t>
      </w:r>
    </w:p>
    <w:tbl>
      <w:tblPr>
        <w:tblStyle w:val="TableGrid"/>
        <w:tblW w:w="0" w:type="auto"/>
        <w:tblLook w:val="04A0" w:firstRow="1" w:lastRow="0" w:firstColumn="1" w:lastColumn="0" w:noHBand="0" w:noVBand="1"/>
      </w:tblPr>
      <w:tblGrid>
        <w:gridCol w:w="9350"/>
      </w:tblGrid>
      <w:tr w:rsidR="00AE47E7" w14:paraId="1D0CE4A8" w14:textId="77777777" w:rsidTr="00AE47E7">
        <w:tc>
          <w:tcPr>
            <w:tcW w:w="9350" w:type="dxa"/>
            <w:shd w:val="clear" w:color="auto" w:fill="E8E8E8" w:themeFill="background2"/>
          </w:tcPr>
          <w:p w14:paraId="24744F24" w14:textId="16A1CAE1" w:rsidR="00AE47E7" w:rsidRDefault="00AE47E7" w:rsidP="00AE47E7">
            <w:pPr>
              <w:jc w:val="center"/>
              <w:rPr>
                <w:rFonts w:ascii="Gotham Book" w:hAnsi="Gotham Book"/>
                <w:sz w:val="28"/>
                <w:szCs w:val="28"/>
              </w:rPr>
            </w:pPr>
            <w:r w:rsidRPr="00AE47E7">
              <w:rPr>
                <w:rFonts w:ascii="Gotham Book" w:hAnsi="Gotham Book"/>
                <w:sz w:val="28"/>
                <w:szCs w:val="28"/>
              </w:rPr>
              <w:t>Datos rápidos</w:t>
            </w:r>
          </w:p>
        </w:tc>
      </w:tr>
    </w:tbl>
    <w:p w14:paraId="172BEEE0" w14:textId="1C7DBF23" w:rsidR="00A43FA2" w:rsidRPr="00AE47E7" w:rsidRDefault="00A43FA2" w:rsidP="00AE47E7">
      <w:pPr>
        <w:jc w:val="center"/>
        <w:rPr>
          <w:rFonts w:ascii="Gotham Book" w:hAnsi="Gotham Book"/>
          <w:sz w:val="2"/>
          <w:szCs w:val="2"/>
        </w:rPr>
      </w:pPr>
    </w:p>
    <w:tbl>
      <w:tblPr>
        <w:tblStyle w:val="TableGrid"/>
        <w:tblW w:w="0" w:type="auto"/>
        <w:tblLook w:val="04A0" w:firstRow="1" w:lastRow="0" w:firstColumn="1" w:lastColumn="0" w:noHBand="0" w:noVBand="1"/>
      </w:tblPr>
      <w:tblGrid>
        <w:gridCol w:w="3685"/>
        <w:gridCol w:w="5665"/>
      </w:tblGrid>
      <w:tr w:rsidR="00A43FA2" w:rsidRPr="00D259C0" w14:paraId="7CF69715" w14:textId="77777777" w:rsidTr="00A43FA2">
        <w:trPr>
          <w:trHeight w:val="908"/>
        </w:trPr>
        <w:tc>
          <w:tcPr>
            <w:tcW w:w="3685" w:type="dxa"/>
            <w:shd w:val="clear" w:color="auto" w:fill="F2F2F2" w:themeFill="background1" w:themeFillShade="F2"/>
          </w:tcPr>
          <w:p w14:paraId="6D602E82" w14:textId="02995EF0" w:rsidR="00A43FA2" w:rsidRPr="00D259C0" w:rsidRDefault="00A43FA2" w:rsidP="00A43FA2">
            <w:pPr>
              <w:pStyle w:val="ListParagraph"/>
              <w:numPr>
                <w:ilvl w:val="0"/>
                <w:numId w:val="2"/>
              </w:numPr>
              <w:rPr>
                <w:rFonts w:ascii="Gotham Book" w:hAnsi="Gotham Book"/>
                <w:lang w:val="es-MX"/>
              </w:rPr>
            </w:pPr>
            <w:r w:rsidRPr="00D259C0">
              <w:rPr>
                <w:rFonts w:ascii="Gotham Book" w:hAnsi="Gotham Book"/>
                <w:lang w:val="es-MX"/>
              </w:rPr>
              <w:t>¿Por qué se estableció la Comisión de Ferrocarriles de Texas?</w:t>
            </w:r>
          </w:p>
        </w:tc>
        <w:tc>
          <w:tcPr>
            <w:tcW w:w="5665" w:type="dxa"/>
          </w:tcPr>
          <w:p w14:paraId="1DE53387" w14:textId="77777777" w:rsidR="00A43FA2" w:rsidRPr="00D259C0" w:rsidRDefault="00A43FA2" w:rsidP="00A43FA2">
            <w:pPr>
              <w:rPr>
                <w:rFonts w:ascii="Gotham Book" w:hAnsi="Gotham Book"/>
                <w:lang w:val="es-MX"/>
              </w:rPr>
            </w:pPr>
          </w:p>
        </w:tc>
      </w:tr>
      <w:tr w:rsidR="00A43FA2" w14:paraId="30FE89C8" w14:textId="77777777" w:rsidTr="00A43FA2">
        <w:trPr>
          <w:trHeight w:val="710"/>
        </w:trPr>
        <w:tc>
          <w:tcPr>
            <w:tcW w:w="3685" w:type="dxa"/>
            <w:shd w:val="clear" w:color="auto" w:fill="F2F2F2" w:themeFill="background1" w:themeFillShade="F2"/>
          </w:tcPr>
          <w:p w14:paraId="1B0F070E" w14:textId="4215B509" w:rsidR="00A43FA2" w:rsidRPr="00A43FA2" w:rsidRDefault="00A43FA2" w:rsidP="00A43FA2">
            <w:pPr>
              <w:pStyle w:val="ListParagraph"/>
              <w:numPr>
                <w:ilvl w:val="0"/>
                <w:numId w:val="2"/>
              </w:numPr>
              <w:rPr>
                <w:rFonts w:ascii="Gotham Book" w:hAnsi="Gotham Book"/>
              </w:rPr>
            </w:pPr>
            <w:r w:rsidRPr="00A43FA2">
              <w:rPr>
                <w:rFonts w:ascii="Gotham Book" w:hAnsi="Gotham Book"/>
              </w:rPr>
              <w:t>¿Cuándo se estableció?</w:t>
            </w:r>
          </w:p>
        </w:tc>
        <w:tc>
          <w:tcPr>
            <w:tcW w:w="5665" w:type="dxa"/>
          </w:tcPr>
          <w:p w14:paraId="2A8E5278" w14:textId="77777777" w:rsidR="00A43FA2" w:rsidRDefault="00A43FA2" w:rsidP="00A43FA2">
            <w:pPr>
              <w:rPr>
                <w:rFonts w:ascii="Gotham Book" w:hAnsi="Gotham Book"/>
              </w:rPr>
            </w:pPr>
          </w:p>
        </w:tc>
      </w:tr>
      <w:tr w:rsidR="00A43FA2" w:rsidRPr="00D259C0" w14:paraId="1B0B862C" w14:textId="77777777" w:rsidTr="00A43FA2">
        <w:tc>
          <w:tcPr>
            <w:tcW w:w="3685" w:type="dxa"/>
            <w:shd w:val="clear" w:color="auto" w:fill="F2F2F2" w:themeFill="background1" w:themeFillShade="F2"/>
          </w:tcPr>
          <w:p w14:paraId="2FF87C5F" w14:textId="2FE5BE34" w:rsidR="00A43FA2" w:rsidRPr="00D259C0" w:rsidRDefault="00A43FA2" w:rsidP="00A43FA2">
            <w:pPr>
              <w:pStyle w:val="ListParagraph"/>
              <w:numPr>
                <w:ilvl w:val="0"/>
                <w:numId w:val="2"/>
              </w:numPr>
              <w:rPr>
                <w:rFonts w:ascii="Gotham Book" w:hAnsi="Gotham Book"/>
                <w:lang w:val="es-MX"/>
              </w:rPr>
            </w:pPr>
            <w:r w:rsidRPr="00D259C0">
              <w:rPr>
                <w:rFonts w:ascii="Gotham Book" w:hAnsi="Gotham Book"/>
                <w:lang w:val="es-MX"/>
              </w:rPr>
              <w:t>¿Qué administración del gobernador de Texas estableció la Comisión?</w:t>
            </w:r>
          </w:p>
        </w:tc>
        <w:tc>
          <w:tcPr>
            <w:tcW w:w="5665" w:type="dxa"/>
          </w:tcPr>
          <w:p w14:paraId="6AC8239F" w14:textId="77777777" w:rsidR="00A43FA2" w:rsidRPr="00D259C0" w:rsidRDefault="00A43FA2" w:rsidP="00A43FA2">
            <w:pPr>
              <w:rPr>
                <w:rFonts w:ascii="Gotham Book" w:hAnsi="Gotham Book"/>
                <w:lang w:val="es-MX"/>
              </w:rPr>
            </w:pPr>
          </w:p>
        </w:tc>
      </w:tr>
    </w:tbl>
    <w:p w14:paraId="535C39D8" w14:textId="77777777" w:rsidR="00A43FA2" w:rsidRPr="00D259C0" w:rsidRDefault="00A43FA2" w:rsidP="00A43FA2">
      <w:pPr>
        <w:rPr>
          <w:rFonts w:ascii="Gotham Book" w:hAnsi="Gotham Book"/>
          <w:sz w:val="8"/>
          <w:szCs w:val="2"/>
          <w:lang w:val="es-MX"/>
        </w:rPr>
      </w:pPr>
    </w:p>
    <w:p w14:paraId="4153720D" w14:textId="6A145C2F" w:rsidR="00A43FA2" w:rsidRPr="00D259C0" w:rsidRDefault="00A43FA2" w:rsidP="00A43FA2">
      <w:pPr>
        <w:pStyle w:val="ListParagraph"/>
        <w:numPr>
          <w:ilvl w:val="0"/>
          <w:numId w:val="2"/>
        </w:numPr>
        <w:rPr>
          <w:rFonts w:ascii="Gotham Book" w:hAnsi="Gotham Book"/>
          <w:lang w:val="es-MX"/>
        </w:rPr>
      </w:pPr>
      <w:r w:rsidRPr="00D259C0">
        <w:rPr>
          <w:rFonts w:ascii="Gotham Book" w:hAnsi="Gotham Book"/>
          <w:lang w:val="es-MX"/>
        </w:rPr>
        <w:t xml:space="preserve">¿Por qué querían los agricultores que se estableciera una organización como la Comisión de Ferrocarriles? Describe la situación económica en Texas a finales del siglo XIX que llevó a su fundación. </w:t>
      </w:r>
    </w:p>
    <w:p w14:paraId="4EE86BC2" w14:textId="77777777" w:rsidR="00A43FA2" w:rsidRPr="00D259C0" w:rsidRDefault="00A43FA2" w:rsidP="00A43FA2">
      <w:pPr>
        <w:rPr>
          <w:rFonts w:ascii="Gotham Book" w:hAnsi="Gotham Book"/>
          <w:lang w:val="es-MX"/>
        </w:rPr>
      </w:pPr>
    </w:p>
    <w:p w14:paraId="77BC1AF9" w14:textId="77777777" w:rsidR="00A43FA2" w:rsidRPr="00D259C0" w:rsidRDefault="00A43FA2" w:rsidP="00A43FA2">
      <w:pPr>
        <w:rPr>
          <w:rFonts w:ascii="Gotham Book" w:hAnsi="Gotham Book"/>
          <w:lang w:val="es-MX"/>
        </w:rPr>
      </w:pPr>
    </w:p>
    <w:p w14:paraId="38BC9FFD" w14:textId="551535DD" w:rsidR="00A43FA2" w:rsidRPr="00D259C0" w:rsidRDefault="00A43FA2" w:rsidP="00A43FA2">
      <w:pPr>
        <w:pStyle w:val="ListParagraph"/>
        <w:numPr>
          <w:ilvl w:val="0"/>
          <w:numId w:val="2"/>
        </w:numPr>
        <w:rPr>
          <w:rFonts w:ascii="Gotham Book" w:hAnsi="Gotham Book"/>
          <w:lang w:val="es-MX"/>
        </w:rPr>
      </w:pPr>
      <w:r w:rsidRPr="00D259C0">
        <w:rPr>
          <w:rFonts w:ascii="Gotham Book" w:hAnsi="Gotham Book"/>
          <w:lang w:val="es-MX"/>
        </w:rPr>
        <w:lastRenderedPageBreak/>
        <w:t xml:space="preserve">Además de defender la regulación ferroviaria, ¿qué otras medidas tomaron los agricultores para afrontar los numerosos desafíos que enfrentaban? </w:t>
      </w:r>
    </w:p>
    <w:p w14:paraId="3BCB0398" w14:textId="77777777" w:rsidR="00A43FA2" w:rsidRPr="00D259C0" w:rsidRDefault="00A43FA2" w:rsidP="00A43FA2">
      <w:pPr>
        <w:rPr>
          <w:rFonts w:ascii="Gotham Book" w:hAnsi="Gotham Book"/>
          <w:lang w:val="es-MX"/>
        </w:rPr>
      </w:pPr>
    </w:p>
    <w:p w14:paraId="1CE711FF" w14:textId="77777777" w:rsidR="00A43FA2" w:rsidRPr="00D259C0" w:rsidRDefault="00A43FA2" w:rsidP="00A43FA2">
      <w:pPr>
        <w:rPr>
          <w:rFonts w:ascii="Gotham Book" w:hAnsi="Gotham Book"/>
          <w:lang w:val="es-MX"/>
        </w:rPr>
      </w:pPr>
    </w:p>
    <w:p w14:paraId="068FBF51" w14:textId="77777777" w:rsidR="00A43FA2" w:rsidRPr="00D259C0" w:rsidRDefault="00A43FA2" w:rsidP="00A43FA2">
      <w:pPr>
        <w:rPr>
          <w:rFonts w:ascii="Gotham Book" w:hAnsi="Gotham Book"/>
          <w:lang w:val="es-MX"/>
        </w:rPr>
      </w:pPr>
    </w:p>
    <w:p w14:paraId="5098588F" w14:textId="3EC07EB7" w:rsidR="00A43FA2" w:rsidRDefault="00A43FA2" w:rsidP="00A43FA2">
      <w:pPr>
        <w:pStyle w:val="ListParagraph"/>
        <w:numPr>
          <w:ilvl w:val="0"/>
          <w:numId w:val="2"/>
        </w:numPr>
        <w:rPr>
          <w:rFonts w:ascii="Gotham Book" w:hAnsi="Gotham Book"/>
        </w:rPr>
      </w:pPr>
      <w:r w:rsidRPr="00D259C0">
        <w:rPr>
          <w:rFonts w:ascii="Gotham Book" w:hAnsi="Gotham Book"/>
          <w:lang w:val="es-MX"/>
        </w:rPr>
        <w:t xml:space="preserve">¿Estaban satisfechos la mayoría de los agricultores con el trabajo de la Comisión de Ferrocarriles? </w:t>
      </w:r>
      <w:r>
        <w:rPr>
          <w:rFonts w:ascii="Gotham Book" w:hAnsi="Gotham Book"/>
        </w:rPr>
        <w:t xml:space="preserve">¿Por qué sí o por qué no? </w:t>
      </w:r>
    </w:p>
    <w:p w14:paraId="6DCD2293" w14:textId="77777777" w:rsidR="00A43FA2" w:rsidRDefault="00A43FA2" w:rsidP="00A43FA2">
      <w:pPr>
        <w:rPr>
          <w:rFonts w:ascii="Gotham Book" w:hAnsi="Gotham Book"/>
        </w:rPr>
      </w:pPr>
    </w:p>
    <w:p w14:paraId="3357BF50" w14:textId="77777777" w:rsidR="00A43FA2" w:rsidRPr="00A43FA2" w:rsidRDefault="00A43FA2" w:rsidP="00A43FA2">
      <w:pPr>
        <w:rPr>
          <w:rFonts w:ascii="Gotham Book" w:hAnsi="Gotham Book"/>
        </w:rPr>
      </w:pPr>
    </w:p>
    <w:p w14:paraId="57B1D2AD" w14:textId="78B2EEF5" w:rsidR="00A43FA2" w:rsidRPr="00D259C0" w:rsidRDefault="00A43FA2" w:rsidP="00A43FA2">
      <w:pPr>
        <w:pStyle w:val="ListParagraph"/>
        <w:numPr>
          <w:ilvl w:val="0"/>
          <w:numId w:val="2"/>
        </w:numPr>
        <w:rPr>
          <w:rFonts w:ascii="Gotham Book" w:hAnsi="Gotham Book"/>
          <w:lang w:val="es-MX"/>
        </w:rPr>
      </w:pPr>
      <w:r w:rsidRPr="00D259C0">
        <w:rPr>
          <w:rFonts w:ascii="Gotham Book" w:hAnsi="Gotham Book"/>
          <w:lang w:val="es-MX"/>
        </w:rPr>
        <w:t xml:space="preserve">¿Cómo cambiaron las responsabilidades de la Comisión de Ferrocarriles a lo largo del tiempo y cuál es su importancia hoy en día? </w:t>
      </w:r>
    </w:p>
    <w:bookmarkEnd w:id="3"/>
    <w:p w14:paraId="0461008F" w14:textId="496D0A16" w:rsidR="00A43FA2" w:rsidRPr="00D259C0" w:rsidRDefault="00A43FA2" w:rsidP="00A43FA2">
      <w:pPr>
        <w:rPr>
          <w:rFonts w:ascii="Gotham Book" w:hAnsi="Gotham Book"/>
          <w:lang w:val="es-MX"/>
        </w:rPr>
      </w:pPr>
    </w:p>
    <w:sectPr w:rsidR="00A43FA2" w:rsidRPr="00D259C0">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9FB9" w14:textId="77777777" w:rsidR="00185AF0" w:rsidRDefault="00185AF0" w:rsidP="00185AF0">
      <w:pPr>
        <w:spacing w:after="0" w:line="240" w:lineRule="auto"/>
      </w:pPr>
      <w:r>
        <w:separator/>
      </w:r>
    </w:p>
  </w:endnote>
  <w:endnote w:type="continuationSeparator" w:id="0">
    <w:p w14:paraId="6B31F57B" w14:textId="77777777" w:rsidR="00185AF0" w:rsidRDefault="00185AF0" w:rsidP="00185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654290"/>
      <w:docPartObj>
        <w:docPartGallery w:val="Page Numbers (Bottom of Page)"/>
        <w:docPartUnique/>
      </w:docPartObj>
    </w:sdtPr>
    <w:sdtEndPr>
      <w:rPr>
        <w:noProof/>
      </w:rPr>
    </w:sdtEndPr>
    <w:sdtContent>
      <w:p w14:paraId="7EA88F59" w14:textId="65412D2B" w:rsidR="00185AF0" w:rsidRDefault="00185AF0">
        <w:pPr>
          <w:pStyle w:val="Footer"/>
          <w:jc w:val="center"/>
        </w:pPr>
        <w:r>
          <w:rPr>
            <w:noProof/>
            <w:sz w:val="18"/>
            <w:szCs w:val="18"/>
          </w:rPr>
          <w:drawing>
            <wp:anchor distT="0" distB="0" distL="114300" distR="114300" simplePos="0" relativeHeight="251661312" behindDoc="1" locked="0" layoutInCell="1" allowOverlap="1" wp14:anchorId="65505705" wp14:editId="751BD02F">
              <wp:simplePos x="0" y="0"/>
              <wp:positionH relativeFrom="margin">
                <wp:posOffset>5416952</wp:posOffset>
              </wp:positionH>
              <wp:positionV relativeFrom="paragraph">
                <wp:posOffset>-51001</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36BD7A1" w14:textId="5566D689" w:rsidR="00185AF0" w:rsidRDefault="00185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AF5EE" w14:textId="77777777" w:rsidR="00185AF0" w:rsidRDefault="00185AF0" w:rsidP="00185AF0">
      <w:pPr>
        <w:spacing w:after="0" w:line="240" w:lineRule="auto"/>
      </w:pPr>
      <w:r>
        <w:separator/>
      </w:r>
    </w:p>
  </w:footnote>
  <w:footnote w:type="continuationSeparator" w:id="0">
    <w:p w14:paraId="2C376905" w14:textId="77777777" w:rsidR="00185AF0" w:rsidRDefault="00185AF0" w:rsidP="00185AF0">
      <w:pPr>
        <w:spacing w:after="0" w:line="240" w:lineRule="auto"/>
      </w:pPr>
      <w:r>
        <w:continuationSeparator/>
      </w:r>
    </w:p>
  </w:footnote>
  <w:footnote w:id="1">
    <w:p w14:paraId="0B3AFB1D" w14:textId="314F5C58" w:rsidR="000D488B" w:rsidRPr="00D259C0" w:rsidRDefault="000D488B">
      <w:pPr>
        <w:pStyle w:val="FootnoteText"/>
        <w:rPr>
          <w:lang w:val="es-MX"/>
        </w:rPr>
      </w:pPr>
      <w:r>
        <w:rPr>
          <w:rStyle w:val="FootnoteReference"/>
        </w:rPr>
        <w:footnoteRef/>
      </w:r>
      <w:r w:rsidRPr="00D259C0">
        <w:rPr>
          <w:lang w:val="es-MX"/>
        </w:rPr>
        <w:t xml:space="preserve"> </w:t>
      </w:r>
      <w:r w:rsidRPr="00D259C0">
        <w:rPr>
          <w:b/>
          <w:bCs/>
          <w:i/>
          <w:iCs/>
          <w:lang w:val="es-MX"/>
        </w:rPr>
        <w:t xml:space="preserve">Abuso de precios: </w:t>
      </w:r>
      <w:r w:rsidRPr="00D259C0">
        <w:rPr>
          <w:lang w:val="es-MX"/>
        </w:rPr>
        <w:t>cobrar mucho más de lo que se considera razonable o justo por un producto o servicio.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5570" w14:textId="70EA1971" w:rsidR="00185AF0" w:rsidRDefault="00185AF0">
    <w:pPr>
      <w:pStyle w:val="Header"/>
    </w:pPr>
    <w:r w:rsidRPr="008D7B34">
      <w:rPr>
        <w:rFonts w:ascii="Gotham Book" w:hAnsi="Gotham Book"/>
        <w:noProof/>
      </w:rPr>
      <w:drawing>
        <wp:anchor distT="0" distB="0" distL="114300" distR="114300" simplePos="0" relativeHeight="251659264" behindDoc="1" locked="0" layoutInCell="1" allowOverlap="1" wp14:anchorId="2AD053BA" wp14:editId="3F436844">
          <wp:simplePos x="0" y="0"/>
          <wp:positionH relativeFrom="margin">
            <wp:align>left</wp:align>
          </wp:positionH>
          <wp:positionV relativeFrom="paragraph">
            <wp:posOffset>-190757</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BD3A36" w14:textId="77777777" w:rsidR="00185AF0" w:rsidRDefault="00185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78B7"/>
    <w:multiLevelType w:val="hybridMultilevel"/>
    <w:tmpl w:val="74649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640EC7"/>
    <w:multiLevelType w:val="hybridMultilevel"/>
    <w:tmpl w:val="6E58B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5060314">
    <w:abstractNumId w:val="0"/>
  </w:num>
  <w:num w:numId="2" w16cid:durableId="1269384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D7"/>
    <w:rsid w:val="000D488B"/>
    <w:rsid w:val="00112FC6"/>
    <w:rsid w:val="00185AF0"/>
    <w:rsid w:val="001952F9"/>
    <w:rsid w:val="001E1488"/>
    <w:rsid w:val="00256C2F"/>
    <w:rsid w:val="0030649E"/>
    <w:rsid w:val="004171CD"/>
    <w:rsid w:val="00436A46"/>
    <w:rsid w:val="00490A68"/>
    <w:rsid w:val="0055188F"/>
    <w:rsid w:val="005D1509"/>
    <w:rsid w:val="007F0DEC"/>
    <w:rsid w:val="008C39C7"/>
    <w:rsid w:val="009A7ABD"/>
    <w:rsid w:val="009E4B72"/>
    <w:rsid w:val="00A43FA2"/>
    <w:rsid w:val="00A96A28"/>
    <w:rsid w:val="00AE47E7"/>
    <w:rsid w:val="00AE648B"/>
    <w:rsid w:val="00B64873"/>
    <w:rsid w:val="00BB1842"/>
    <w:rsid w:val="00BD7F05"/>
    <w:rsid w:val="00C630F1"/>
    <w:rsid w:val="00CC36D7"/>
    <w:rsid w:val="00CE0DE3"/>
    <w:rsid w:val="00D259C0"/>
    <w:rsid w:val="00D619AC"/>
    <w:rsid w:val="00DA2BCA"/>
    <w:rsid w:val="00E064B1"/>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FC7858"/>
  <w15:chartTrackingRefBased/>
  <w15:docId w15:val="{D96EC768-FD7A-435B-A21C-73BD030BD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AF0"/>
  </w:style>
  <w:style w:type="paragraph" w:styleId="Heading1">
    <w:name w:val="heading 1"/>
    <w:basedOn w:val="Normal"/>
    <w:next w:val="Normal"/>
    <w:link w:val="Heading1Char"/>
    <w:uiPriority w:val="9"/>
    <w:qFormat/>
    <w:rsid w:val="00CC3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6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6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6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6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6D7"/>
    <w:rPr>
      <w:rFonts w:eastAsiaTheme="majorEastAsia" w:cstheme="majorBidi"/>
      <w:color w:val="272727" w:themeColor="text1" w:themeTint="D8"/>
    </w:rPr>
  </w:style>
  <w:style w:type="paragraph" w:styleId="Title">
    <w:name w:val="Title"/>
    <w:basedOn w:val="Normal"/>
    <w:next w:val="Normal"/>
    <w:link w:val="TitleChar"/>
    <w:uiPriority w:val="10"/>
    <w:qFormat/>
    <w:rsid w:val="00CC3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6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6D7"/>
    <w:pPr>
      <w:spacing w:before="160"/>
      <w:jc w:val="center"/>
    </w:pPr>
    <w:rPr>
      <w:i/>
      <w:iCs/>
      <w:color w:val="404040" w:themeColor="text1" w:themeTint="BF"/>
    </w:rPr>
  </w:style>
  <w:style w:type="character" w:customStyle="1" w:styleId="QuoteChar">
    <w:name w:val="Quote Char"/>
    <w:basedOn w:val="DefaultParagraphFont"/>
    <w:link w:val="Quote"/>
    <w:uiPriority w:val="29"/>
    <w:rsid w:val="00CC36D7"/>
    <w:rPr>
      <w:i/>
      <w:iCs/>
      <w:color w:val="404040" w:themeColor="text1" w:themeTint="BF"/>
    </w:rPr>
  </w:style>
  <w:style w:type="paragraph" w:styleId="ListParagraph">
    <w:name w:val="List Paragraph"/>
    <w:basedOn w:val="Normal"/>
    <w:uiPriority w:val="34"/>
    <w:qFormat/>
    <w:rsid w:val="00CC36D7"/>
    <w:pPr>
      <w:ind w:left="720"/>
      <w:contextualSpacing/>
    </w:pPr>
  </w:style>
  <w:style w:type="character" w:styleId="IntenseEmphasis">
    <w:name w:val="Intense Emphasis"/>
    <w:basedOn w:val="DefaultParagraphFont"/>
    <w:uiPriority w:val="21"/>
    <w:qFormat/>
    <w:rsid w:val="00CC36D7"/>
    <w:rPr>
      <w:i/>
      <w:iCs/>
      <w:color w:val="0F4761" w:themeColor="accent1" w:themeShade="BF"/>
    </w:rPr>
  </w:style>
  <w:style w:type="paragraph" w:styleId="IntenseQuote">
    <w:name w:val="Intense Quote"/>
    <w:basedOn w:val="Normal"/>
    <w:next w:val="Normal"/>
    <w:link w:val="IntenseQuoteChar"/>
    <w:uiPriority w:val="30"/>
    <w:qFormat/>
    <w:rsid w:val="00CC3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6D7"/>
    <w:rPr>
      <w:i/>
      <w:iCs/>
      <w:color w:val="0F4761" w:themeColor="accent1" w:themeShade="BF"/>
    </w:rPr>
  </w:style>
  <w:style w:type="character" w:styleId="IntenseReference">
    <w:name w:val="Intense Reference"/>
    <w:basedOn w:val="DefaultParagraphFont"/>
    <w:uiPriority w:val="32"/>
    <w:qFormat/>
    <w:rsid w:val="00CC36D7"/>
    <w:rPr>
      <w:b/>
      <w:bCs/>
      <w:smallCaps/>
      <w:color w:val="0F4761" w:themeColor="accent1" w:themeShade="BF"/>
      <w:spacing w:val="5"/>
    </w:rPr>
  </w:style>
  <w:style w:type="character" w:styleId="Strong">
    <w:name w:val="Strong"/>
    <w:basedOn w:val="DefaultParagraphFont"/>
    <w:uiPriority w:val="22"/>
    <w:qFormat/>
    <w:rsid w:val="00185AF0"/>
    <w:rPr>
      <w:b/>
      <w:bCs/>
    </w:rPr>
  </w:style>
  <w:style w:type="table" w:styleId="TableGrid">
    <w:name w:val="Table Grid"/>
    <w:basedOn w:val="TableNormal"/>
    <w:uiPriority w:val="39"/>
    <w:rsid w:val="00185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AF0"/>
  </w:style>
  <w:style w:type="paragraph" w:styleId="Footer">
    <w:name w:val="footer"/>
    <w:basedOn w:val="Normal"/>
    <w:link w:val="FooterChar"/>
    <w:uiPriority w:val="99"/>
    <w:unhideWhenUsed/>
    <w:rsid w:val="00185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AF0"/>
  </w:style>
  <w:style w:type="paragraph" w:styleId="Caption">
    <w:name w:val="caption"/>
    <w:basedOn w:val="Normal"/>
    <w:next w:val="Normal"/>
    <w:uiPriority w:val="35"/>
    <w:unhideWhenUsed/>
    <w:qFormat/>
    <w:rsid w:val="009A7ABD"/>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0D48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488B"/>
    <w:rPr>
      <w:sz w:val="20"/>
      <w:szCs w:val="20"/>
    </w:rPr>
  </w:style>
  <w:style w:type="character" w:styleId="FootnoteReference">
    <w:name w:val="footnote reference"/>
    <w:basedOn w:val="DefaultParagraphFont"/>
    <w:uiPriority w:val="99"/>
    <w:semiHidden/>
    <w:unhideWhenUsed/>
    <w:rsid w:val="000D488B"/>
    <w:rPr>
      <w:vertAlign w:val="superscript"/>
    </w:rPr>
  </w:style>
  <w:style w:type="paragraph" w:styleId="Revision">
    <w:name w:val="Revision"/>
    <w:hidden/>
    <w:uiPriority w:val="99"/>
    <w:semiHidden/>
    <w:rsid w:val="00256C2F"/>
    <w:pPr>
      <w:spacing w:after="0" w:line="240" w:lineRule="auto"/>
    </w:pPr>
  </w:style>
  <w:style w:type="character" w:styleId="CommentReference">
    <w:name w:val="annotation reference"/>
    <w:basedOn w:val="DefaultParagraphFont"/>
    <w:uiPriority w:val="99"/>
    <w:semiHidden/>
    <w:unhideWhenUsed/>
    <w:rsid w:val="00256C2F"/>
    <w:rPr>
      <w:sz w:val="16"/>
      <w:szCs w:val="16"/>
    </w:rPr>
  </w:style>
  <w:style w:type="paragraph" w:styleId="CommentText">
    <w:name w:val="annotation text"/>
    <w:basedOn w:val="Normal"/>
    <w:link w:val="CommentTextChar"/>
    <w:uiPriority w:val="99"/>
    <w:unhideWhenUsed/>
    <w:rsid w:val="00256C2F"/>
    <w:pPr>
      <w:spacing w:line="240" w:lineRule="auto"/>
    </w:pPr>
    <w:rPr>
      <w:sz w:val="20"/>
      <w:szCs w:val="20"/>
    </w:rPr>
  </w:style>
  <w:style w:type="character" w:customStyle="1" w:styleId="CommentTextChar">
    <w:name w:val="Comment Text Char"/>
    <w:basedOn w:val="DefaultParagraphFont"/>
    <w:link w:val="CommentText"/>
    <w:uiPriority w:val="99"/>
    <w:rsid w:val="00256C2F"/>
    <w:rPr>
      <w:sz w:val="20"/>
      <w:szCs w:val="20"/>
    </w:rPr>
  </w:style>
  <w:style w:type="paragraph" w:styleId="CommentSubject">
    <w:name w:val="annotation subject"/>
    <w:basedOn w:val="CommentText"/>
    <w:next w:val="CommentText"/>
    <w:link w:val="CommentSubjectChar"/>
    <w:uiPriority w:val="99"/>
    <w:semiHidden/>
    <w:unhideWhenUsed/>
    <w:rsid w:val="00256C2F"/>
    <w:rPr>
      <w:b/>
      <w:bCs/>
    </w:rPr>
  </w:style>
  <w:style w:type="character" w:customStyle="1" w:styleId="CommentSubjectChar">
    <w:name w:val="Comment Subject Char"/>
    <w:basedOn w:val="CommentTextChar"/>
    <w:link w:val="CommentSubject"/>
    <w:uiPriority w:val="99"/>
    <w:semiHidden/>
    <w:rsid w:val="00256C2F"/>
    <w:rPr>
      <w:b/>
      <w:bCs/>
      <w:sz w:val="20"/>
      <w:szCs w:val="20"/>
    </w:rPr>
  </w:style>
  <w:style w:type="character" w:styleId="PlaceholderText">
    <w:name w:val="Placeholder Text"/>
    <w:basedOn w:val="DefaultParagraphFont"/>
    <w:uiPriority w:val="99"/>
    <w:semiHidden/>
    <w:rsid w:val="00D259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D78AD-0154-4B25-A376-8A11A3F447F6}">
  <ds:schemaRefs>
    <ds:schemaRef ds:uri="http://schemas.microsoft.com/sharepoint/v3/contenttype/forms"/>
  </ds:schemaRefs>
</ds:datastoreItem>
</file>

<file path=customXml/itemProps2.xml><?xml version="1.0" encoding="utf-8"?>
<ds:datastoreItem xmlns:ds="http://schemas.openxmlformats.org/officeDocument/2006/customXml" ds:itemID="{9B187D4B-CF6D-49B7-AD77-84E08AC3070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822E2F89-7A41-459E-98AB-8AC4FC01B754}"/>
</file>

<file path=customXml/itemProps4.xml><?xml version="1.0" encoding="utf-8"?>
<ds:datastoreItem xmlns:ds="http://schemas.openxmlformats.org/officeDocument/2006/customXml" ds:itemID="{4FF98690-FA65-4830-8770-D678B5E5F78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148</TotalTime>
  <Pages>4</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2025-11-14T20:14:00Z</dcterms:created>
  <dcterms:modified xsi:type="dcterms:W3CDTF">2026-04-25T23:52:00Z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