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ACC27" w14:textId="561D3519" w:rsidR="0017601A" w:rsidRPr="00820178" w:rsidRDefault="0017601A">
      <w:pPr>
        <w:rPr>
          <w:sz w:val="4"/>
          <w:szCs w:val="4"/>
        </w:rPr>
      </w:pPr>
    </w:p>
    <w:tbl>
      <w:tblPr>
        <w:tblStyle w:val="TableGrid"/>
        <w:tblW w:w="0" w:type="auto"/>
        <w:tblLook w:val="04A0" w:firstRow="1" w:lastRow="0" w:firstColumn="1" w:lastColumn="0" w:noHBand="0" w:noVBand="1"/>
      </w:tblPr>
      <w:tblGrid>
        <w:gridCol w:w="9350"/>
      </w:tblGrid>
      <w:tr w:rsidR="0017601A" w14:paraId="7FBB90DA" w14:textId="77777777" w:rsidTr="00A9598B">
        <w:trPr>
          <w:trHeight w:val="674"/>
        </w:trPr>
        <w:tc>
          <w:tcPr>
            <w:tcW w:w="9350" w:type="dxa"/>
            <w:shd w:val="clear" w:color="auto" w:fill="D9D9D9" w:themeFill="background1" w:themeFillShade="D9"/>
            <w:vAlign w:val="center"/>
          </w:tcPr>
          <w:p w14:paraId="48E120FE" w14:textId="6799D867" w:rsidR="0017601A" w:rsidRPr="00A9598B" w:rsidRDefault="0017601A" w:rsidP="00A9598B">
            <w:pPr>
              <w:spacing w:line="276" w:lineRule="auto"/>
              <w:jc w:val="center"/>
              <w:rPr>
                <w:b/>
                <w:bCs/>
                <w:sz w:val="36"/>
                <w:szCs w:val="48"/>
              </w:rPr>
            </w:pPr>
            <w:r w:rsidRPr="0017601A">
              <w:rPr>
                <w:b/>
                <w:bCs/>
                <w:sz w:val="36"/>
                <w:szCs w:val="48"/>
              </w:rPr>
              <w:t>Station 1</w:t>
            </w:r>
          </w:p>
        </w:tc>
      </w:tr>
    </w:tbl>
    <w:p w14:paraId="1E024DFB" w14:textId="77777777" w:rsidR="0017601A" w:rsidRDefault="0017601A">
      <w:pPr>
        <w:rPr>
          <w:sz w:val="4"/>
          <w:szCs w:val="4"/>
        </w:rPr>
      </w:pPr>
    </w:p>
    <w:p w14:paraId="0001612F" w14:textId="77777777" w:rsidR="00A9598B" w:rsidRDefault="00A9598B">
      <w:pPr>
        <w:rPr>
          <w:sz w:val="4"/>
          <w:szCs w:val="4"/>
        </w:rPr>
      </w:pPr>
    </w:p>
    <w:p w14:paraId="44C0FB8F" w14:textId="77777777" w:rsidR="00A9598B" w:rsidRPr="0017601A" w:rsidRDefault="00A9598B">
      <w:pPr>
        <w:rPr>
          <w:sz w:val="4"/>
          <w:szCs w:val="4"/>
        </w:rPr>
      </w:pPr>
    </w:p>
    <w:p w14:paraId="460F18AE" w14:textId="2F6B7B0F" w:rsidR="0017601A" w:rsidRDefault="00C91765" w:rsidP="00883BF5">
      <w:pPr>
        <w:rPr>
          <w:sz w:val="32"/>
          <w:szCs w:val="40"/>
        </w:rPr>
      </w:pPr>
      <w:r>
        <w:rPr>
          <w:noProof/>
          <w:sz w:val="32"/>
          <w:szCs w:val="40"/>
        </w:rPr>
        <w:drawing>
          <wp:inline distT="0" distB="0" distL="0" distR="0" wp14:anchorId="0AED7D37" wp14:editId="732554B1">
            <wp:extent cx="5828714" cy="3596640"/>
            <wp:effectExtent l="0" t="0" r="635" b="3810"/>
            <wp:docPr id="426525197" name="Chart 4" descr="A chart showing the birthplace of Texas residents in 1850 including the following information:&#10;Texas - 41,210&#10;Tennessee - 18,269&#10;Alabama - 15,463&#10;Germany - 10,522&#10;Mississippi - 6,885&#10;North Carolina - 6,142&#10;South Carolina - 4,580&#10;Louisiana - 4,477&#10;Mexico - 4,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00820178">
        <w:rPr>
          <w:rStyle w:val="FootnoteReference"/>
          <w:sz w:val="32"/>
          <w:szCs w:val="40"/>
        </w:rPr>
        <w:footnoteReference w:id="1"/>
      </w:r>
    </w:p>
    <w:p w14:paraId="03831714" w14:textId="77777777" w:rsidR="00A9598B" w:rsidRDefault="00961A20" w:rsidP="00961A20">
      <w:pPr>
        <w:rPr>
          <w:b/>
          <w:bCs/>
          <w:i/>
          <w:iCs/>
        </w:rPr>
      </w:pPr>
      <w:r w:rsidRPr="00961A20">
        <w:rPr>
          <w:b/>
          <w:bCs/>
          <w:i/>
          <w:iCs/>
        </w:rPr>
        <w:t>Not</w:t>
      </w:r>
      <w:r w:rsidR="00A9598B">
        <w:rPr>
          <w:b/>
          <w:bCs/>
          <w:i/>
          <w:iCs/>
        </w:rPr>
        <w:t xml:space="preserve">es: </w:t>
      </w:r>
    </w:p>
    <w:p w14:paraId="332EB906" w14:textId="1E1FE70F" w:rsidR="00A9598B" w:rsidRPr="00A9598B" w:rsidRDefault="00A9598B" w:rsidP="00A9598B">
      <w:r>
        <w:t xml:space="preserve">Data for this chart </w:t>
      </w:r>
      <w:r w:rsidRPr="00A9598B">
        <w:t>only</w:t>
      </w:r>
      <w:r>
        <w:t xml:space="preserve"> includes the top 10 </w:t>
      </w:r>
      <w:r w:rsidRPr="00A9598B">
        <w:rPr>
          <w:b/>
          <w:bCs/>
          <w:i/>
          <w:iCs/>
        </w:rPr>
        <w:t>demographic</w:t>
      </w:r>
      <w:r>
        <w:rPr>
          <w:rStyle w:val="FootnoteReference"/>
          <w:b/>
          <w:bCs/>
          <w:i/>
          <w:iCs/>
        </w:rPr>
        <w:footnoteReference w:id="2"/>
      </w:r>
      <w:r>
        <w:t xml:space="preserve"> groups that lived in Texas in 1850. There were more groups of people from other states </w:t>
      </w:r>
      <w:r w:rsidR="007D60DE">
        <w:t>in the United States</w:t>
      </w:r>
      <w:r>
        <w:t xml:space="preserve"> and</w:t>
      </w:r>
      <w:r w:rsidR="007D60DE">
        <w:t xml:space="preserve"> from</w:t>
      </w:r>
      <w:r>
        <w:t xml:space="preserve"> other countries, though these groups represented a smaller portion of the Texas population in 1850. </w:t>
      </w:r>
    </w:p>
    <w:p w14:paraId="576E61AD" w14:textId="2C948C3A" w:rsidR="00961A20" w:rsidRDefault="00A9598B" w:rsidP="00961A20">
      <w:r>
        <w:t xml:space="preserve">Data is limited for the birth records of American Indians and enslaved African Americans in Texas during the Early Texas Statehood era from 1845 to 1860. As a result, information for those demographic groups is not included in this chart.  </w:t>
      </w:r>
    </w:p>
    <w:p w14:paraId="2EF7FE97" w14:textId="77777777" w:rsidR="00820178" w:rsidRDefault="00820178" w:rsidP="00961A20"/>
    <w:p w14:paraId="786B17B6" w14:textId="77777777" w:rsidR="00820178" w:rsidRPr="00820178" w:rsidRDefault="00820178" w:rsidP="00820178">
      <w:pPr>
        <w:rPr>
          <w:sz w:val="2"/>
          <w:szCs w:val="2"/>
        </w:rPr>
      </w:pPr>
    </w:p>
    <w:tbl>
      <w:tblPr>
        <w:tblStyle w:val="TableGrid"/>
        <w:tblW w:w="0" w:type="auto"/>
        <w:tblLook w:val="04A0" w:firstRow="1" w:lastRow="0" w:firstColumn="1" w:lastColumn="0" w:noHBand="0" w:noVBand="1"/>
      </w:tblPr>
      <w:tblGrid>
        <w:gridCol w:w="9350"/>
      </w:tblGrid>
      <w:tr w:rsidR="00820178" w14:paraId="351DDBEB" w14:textId="77777777" w:rsidTr="008D5582">
        <w:trPr>
          <w:trHeight w:val="674"/>
        </w:trPr>
        <w:tc>
          <w:tcPr>
            <w:tcW w:w="9350" w:type="dxa"/>
            <w:shd w:val="clear" w:color="auto" w:fill="D9D9D9" w:themeFill="background1" w:themeFillShade="D9"/>
            <w:vAlign w:val="center"/>
          </w:tcPr>
          <w:p w14:paraId="3F798CDD" w14:textId="5ADBF550" w:rsidR="00820178" w:rsidRPr="00A9598B" w:rsidRDefault="00820178" w:rsidP="008D5582">
            <w:pPr>
              <w:spacing w:line="276" w:lineRule="auto"/>
              <w:jc w:val="center"/>
              <w:rPr>
                <w:b/>
                <w:bCs/>
                <w:sz w:val="36"/>
                <w:szCs w:val="48"/>
              </w:rPr>
            </w:pPr>
            <w:r w:rsidRPr="0017601A">
              <w:rPr>
                <w:b/>
                <w:bCs/>
                <w:sz w:val="36"/>
                <w:szCs w:val="48"/>
              </w:rPr>
              <w:lastRenderedPageBreak/>
              <w:t xml:space="preserve">Station </w:t>
            </w:r>
            <w:r>
              <w:rPr>
                <w:b/>
                <w:bCs/>
                <w:sz w:val="36"/>
                <w:szCs w:val="48"/>
              </w:rPr>
              <w:t>2</w:t>
            </w:r>
          </w:p>
        </w:tc>
      </w:tr>
    </w:tbl>
    <w:p w14:paraId="5D8AFB97" w14:textId="2C98A34F" w:rsidR="009A1343" w:rsidRPr="001F6398" w:rsidRDefault="009A1343" w:rsidP="00961A20">
      <w:pPr>
        <w:rPr>
          <w:sz w:val="12"/>
          <w:szCs w:val="12"/>
        </w:rPr>
      </w:pPr>
    </w:p>
    <w:p w14:paraId="6A97F319" w14:textId="59787693" w:rsidR="001F6398" w:rsidRDefault="001F6398" w:rsidP="00961A20">
      <w:r w:rsidRPr="001F6398">
        <w:rPr>
          <w:noProof/>
        </w:rPr>
        <w:drawing>
          <wp:inline distT="0" distB="0" distL="0" distR="0" wp14:anchorId="1D4A69E4" wp14:editId="123A4D11">
            <wp:extent cx="5770978" cy="4045850"/>
            <wp:effectExtent l="95250" t="19050" r="20320" b="88265"/>
            <wp:docPr id="126808287" name="Picture 1" descr="A map of the world highlighting the countries where the majority of immigrants to Texas came from in 1850. &#10;Each location of origin for the various immigrant groups is labeled and the number of people who immigrated to Texas from that country in 1850 is stated as follows:&#10;Germany: 10,522&#10;Mexico: 4,239&#10;Ireland: 565&#10;England: 536&#10;France: 220&#10;Cananda: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8287" name="Picture 1" descr="A map of the world highlighting the countries where the majority of immigrants to Texas came from in 1850. &#10;Each location of origin for the various immigrant groups is labeled and the number of people who immigrated to Texas from that country in 1850 is stated as follows:&#10;Germany: 10,522&#10;Mexico: 4,239&#10;Ireland: 565&#10;England: 536&#10;France: 220&#10;Cananda: 183"/>
                    <pic:cNvPicPr/>
                  </pic:nvPicPr>
                  <pic:blipFill rotWithShape="1">
                    <a:blip r:embed="rId8"/>
                    <a:srcRect b="273"/>
                    <a:stretch>
                      <a:fillRect/>
                    </a:stretch>
                  </pic:blipFill>
                  <pic:spPr bwMode="auto">
                    <a:xfrm>
                      <a:off x="0" y="0"/>
                      <a:ext cx="5783982" cy="4054967"/>
                    </a:xfrm>
                    <a:prstGeom prst="rect">
                      <a:avLst/>
                    </a:prstGeom>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r w:rsidR="00883BF5">
        <w:rPr>
          <w:rStyle w:val="FootnoteReference"/>
        </w:rPr>
        <w:footnoteReference w:id="3"/>
      </w:r>
    </w:p>
    <w:p w14:paraId="396393D2" w14:textId="3B0EC2C3" w:rsidR="001F6398" w:rsidRDefault="00694E31" w:rsidP="00961A20">
      <w:r w:rsidRPr="00694E31">
        <w:rPr>
          <w:b/>
          <w:bCs/>
          <w:i/>
          <w:iCs/>
        </w:rPr>
        <w:t>Note</w:t>
      </w:r>
      <w:r>
        <w:t xml:space="preserve">: This graphic shows information related to the country of origin for only the top six countries where immigrants to Texas immigrated from in 1850. </w:t>
      </w:r>
    </w:p>
    <w:p w14:paraId="4A2B9B24" w14:textId="77777777" w:rsidR="00883BF5" w:rsidRDefault="00883BF5" w:rsidP="00961A20"/>
    <w:p w14:paraId="39CFB51C" w14:textId="77777777" w:rsidR="00883BF5" w:rsidRDefault="00883BF5" w:rsidP="00961A20"/>
    <w:p w14:paraId="4126ED78" w14:textId="77777777" w:rsidR="00883BF5" w:rsidRDefault="00883BF5" w:rsidP="00961A20"/>
    <w:p w14:paraId="4C9B080A" w14:textId="77777777" w:rsidR="00883BF5" w:rsidRDefault="00883BF5" w:rsidP="00961A20"/>
    <w:tbl>
      <w:tblPr>
        <w:tblStyle w:val="TableGrid"/>
        <w:tblW w:w="0" w:type="auto"/>
        <w:tblLook w:val="04A0" w:firstRow="1" w:lastRow="0" w:firstColumn="1" w:lastColumn="0" w:noHBand="0" w:noVBand="1"/>
      </w:tblPr>
      <w:tblGrid>
        <w:gridCol w:w="9350"/>
      </w:tblGrid>
      <w:tr w:rsidR="00DD3BD1" w14:paraId="184871F1" w14:textId="77777777" w:rsidTr="008D5582">
        <w:trPr>
          <w:trHeight w:val="674"/>
        </w:trPr>
        <w:tc>
          <w:tcPr>
            <w:tcW w:w="9350" w:type="dxa"/>
            <w:shd w:val="clear" w:color="auto" w:fill="D9D9D9" w:themeFill="background1" w:themeFillShade="D9"/>
            <w:vAlign w:val="center"/>
          </w:tcPr>
          <w:p w14:paraId="0CB86006" w14:textId="16907F0B" w:rsidR="00DD3BD1" w:rsidRPr="00A9598B" w:rsidRDefault="00DD3BD1" w:rsidP="008D5582">
            <w:pPr>
              <w:spacing w:line="276" w:lineRule="auto"/>
              <w:jc w:val="center"/>
              <w:rPr>
                <w:b/>
                <w:bCs/>
                <w:sz w:val="36"/>
                <w:szCs w:val="48"/>
              </w:rPr>
            </w:pPr>
            <w:r w:rsidRPr="0017601A">
              <w:rPr>
                <w:b/>
                <w:bCs/>
                <w:sz w:val="36"/>
                <w:szCs w:val="48"/>
              </w:rPr>
              <w:lastRenderedPageBreak/>
              <w:t xml:space="preserve">Station </w:t>
            </w:r>
            <w:r>
              <w:rPr>
                <w:b/>
                <w:bCs/>
                <w:sz w:val="36"/>
                <w:szCs w:val="48"/>
              </w:rPr>
              <w:t>3</w:t>
            </w:r>
          </w:p>
        </w:tc>
      </w:tr>
    </w:tbl>
    <w:p w14:paraId="216944EF" w14:textId="77777777" w:rsidR="00883BF5" w:rsidRDefault="00883BF5" w:rsidP="00961A20"/>
    <w:p w14:paraId="31D3A9D1" w14:textId="55DED067" w:rsidR="00DD3BD1" w:rsidRDefault="00DD3BD1" w:rsidP="00961A20">
      <w:r>
        <w:rPr>
          <w:noProof/>
        </w:rPr>
        <w:drawing>
          <wp:inline distT="0" distB="0" distL="0" distR="0" wp14:anchorId="48D70A2C" wp14:editId="4706F64E">
            <wp:extent cx="5870917" cy="4154658"/>
            <wp:effectExtent l="0" t="0" r="15875" b="17780"/>
            <wp:docPr id="1801523512" name="Chart 5" descr="A chart titled &quot;Non-Indian Population of Texas.&quot;&#10;From 1800 - 1820 the non-Indian population held steady at about 4,000 people. &#10;In 1830, that number increased to approximately 20,000.&#10;1840: Approximately 80,000&#10;1850: Approximately 210,000&#10;1860: Approximately 610,000.&#10;The enslaved population displayed reads as follows:&#10;1830: Approximately 5,000&#10;1850: Approximately 58,000&#10;1860: Approximately 183,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F02691">
        <w:rPr>
          <w:rStyle w:val="FootnoteReference"/>
        </w:rPr>
        <w:footnoteReference w:id="4"/>
      </w:r>
    </w:p>
    <w:p w14:paraId="61CD5864" w14:textId="77777777" w:rsidR="00F02691" w:rsidRDefault="00F02691" w:rsidP="00961A20">
      <w:r w:rsidRPr="00F02691">
        <w:rPr>
          <w:b/>
          <w:bCs/>
          <w:i/>
          <w:iCs/>
        </w:rPr>
        <w:t>Note</w:t>
      </w:r>
      <w:r>
        <w:rPr>
          <w:b/>
          <w:bCs/>
          <w:i/>
          <w:iCs/>
        </w:rPr>
        <w:t>s</w:t>
      </w:r>
      <w:r>
        <w:t xml:space="preserve">: </w:t>
      </w:r>
    </w:p>
    <w:p w14:paraId="52946C67" w14:textId="2D12EE62" w:rsidR="00F02691" w:rsidRDefault="00F02691" w:rsidP="00961A20">
      <w:r>
        <w:t>The non-Indian population of Texas for the years 1800 – 1820 was approximately 4,000</w:t>
      </w:r>
      <w:r w:rsidR="001A281D">
        <w:t xml:space="preserve"> Tejanos. O</w:t>
      </w:r>
      <w:r>
        <w:t xml:space="preserve">n the chart </w:t>
      </w:r>
      <w:r w:rsidR="001A281D">
        <w:t>the number</w:t>
      </w:r>
      <w:r>
        <w:t xml:space="preserve"> appears to be close to zero</w:t>
      </w:r>
      <w:r w:rsidR="001A281D">
        <w:t xml:space="preserve"> because of the wide scope of the data presented on the chart. </w:t>
      </w:r>
    </w:p>
    <w:p w14:paraId="26EEA234" w14:textId="4A4FF028" w:rsidR="00F02691" w:rsidRDefault="00F02691" w:rsidP="00961A20">
      <w:r>
        <w:t xml:space="preserve">Exact numbers </w:t>
      </w:r>
      <w:r w:rsidR="007D60DE">
        <w:t>for</w:t>
      </w:r>
      <w:r>
        <w:t xml:space="preserve"> the Texas Indian population </w:t>
      </w:r>
      <w:r w:rsidR="004D2B1B">
        <w:t xml:space="preserve">during the Early Texas Statehood era </w:t>
      </w:r>
      <w:r>
        <w:t xml:space="preserve">are not known, though estimates indicate that there were approximately 20,000 </w:t>
      </w:r>
      <w:r w:rsidR="007D60DE">
        <w:t xml:space="preserve">American </w:t>
      </w:r>
      <w:r>
        <w:t>Indians living in Texas in 1820</w:t>
      </w:r>
      <w:r w:rsidR="004D2B1B">
        <w:t>.</w:t>
      </w:r>
      <w:r w:rsidR="00A813F5">
        <w:t xml:space="preserve"> Similarly, the number of enslaved people </w:t>
      </w:r>
      <w:r w:rsidR="007D60DE">
        <w:t xml:space="preserve">in Texas </w:t>
      </w:r>
      <w:r w:rsidR="00A813F5">
        <w:t>is an estimation</w:t>
      </w:r>
      <w:r w:rsidR="007D60DE">
        <w:t xml:space="preserve"> before Texas joined the U.S. in 1845.</w:t>
      </w:r>
    </w:p>
    <w:p w14:paraId="378453E1" w14:textId="77777777" w:rsidR="004D2B1B" w:rsidRDefault="004D2B1B" w:rsidP="00961A20"/>
    <w:p w14:paraId="1A6C4FAE" w14:textId="77777777" w:rsidR="004D2B1B" w:rsidRDefault="004D2B1B" w:rsidP="00961A20"/>
    <w:p w14:paraId="74A144AC" w14:textId="77777777" w:rsidR="004D2B1B" w:rsidRPr="00EB35E3" w:rsidRDefault="004D2B1B" w:rsidP="00961A20">
      <w:pPr>
        <w:rPr>
          <w:sz w:val="16"/>
          <w:szCs w:val="16"/>
        </w:rPr>
      </w:pPr>
    </w:p>
    <w:tbl>
      <w:tblPr>
        <w:tblStyle w:val="TableGrid"/>
        <w:tblW w:w="0" w:type="auto"/>
        <w:tblLook w:val="04A0" w:firstRow="1" w:lastRow="0" w:firstColumn="1" w:lastColumn="0" w:noHBand="0" w:noVBand="1"/>
      </w:tblPr>
      <w:tblGrid>
        <w:gridCol w:w="9350"/>
      </w:tblGrid>
      <w:tr w:rsidR="004F1D55" w14:paraId="4CA521B1" w14:textId="77777777" w:rsidTr="008D5582">
        <w:trPr>
          <w:trHeight w:val="674"/>
        </w:trPr>
        <w:tc>
          <w:tcPr>
            <w:tcW w:w="9350" w:type="dxa"/>
            <w:shd w:val="clear" w:color="auto" w:fill="D9D9D9" w:themeFill="background1" w:themeFillShade="D9"/>
            <w:vAlign w:val="center"/>
          </w:tcPr>
          <w:p w14:paraId="5E8FC5D3" w14:textId="0944A17E" w:rsidR="004F1D55" w:rsidRPr="00A9598B" w:rsidRDefault="004F1D55" w:rsidP="008D5582">
            <w:pPr>
              <w:spacing w:line="276" w:lineRule="auto"/>
              <w:jc w:val="center"/>
              <w:rPr>
                <w:b/>
                <w:bCs/>
                <w:sz w:val="36"/>
                <w:szCs w:val="48"/>
              </w:rPr>
            </w:pPr>
            <w:r w:rsidRPr="0017601A">
              <w:rPr>
                <w:b/>
                <w:bCs/>
                <w:sz w:val="36"/>
                <w:szCs w:val="48"/>
              </w:rPr>
              <w:t xml:space="preserve">Station </w:t>
            </w:r>
            <w:r>
              <w:rPr>
                <w:b/>
                <w:bCs/>
                <w:sz w:val="36"/>
                <w:szCs w:val="48"/>
              </w:rPr>
              <w:t>4</w:t>
            </w:r>
          </w:p>
        </w:tc>
      </w:tr>
    </w:tbl>
    <w:p w14:paraId="642A4C33" w14:textId="77777777" w:rsidR="00EB35E3" w:rsidRDefault="00EB35E3" w:rsidP="00961A20"/>
    <w:p w14:paraId="598C9594" w14:textId="253E688E" w:rsidR="003328FC" w:rsidRPr="003328FC" w:rsidRDefault="003328FC" w:rsidP="003328FC">
      <w:pPr>
        <w:jc w:val="center"/>
        <w:rPr>
          <w:sz w:val="28"/>
          <w:szCs w:val="32"/>
        </w:rPr>
      </w:pPr>
      <w:r w:rsidRPr="003328FC">
        <w:rPr>
          <w:sz w:val="28"/>
          <w:szCs w:val="32"/>
        </w:rPr>
        <w:t xml:space="preserve"> Enslaved Population in the Southern United States</w:t>
      </w:r>
      <w:r>
        <w:rPr>
          <w:sz w:val="28"/>
          <w:szCs w:val="32"/>
        </w:rPr>
        <w:t>, 1860</w:t>
      </w:r>
    </w:p>
    <w:p w14:paraId="7FF7CC2B" w14:textId="45BA3AE3" w:rsidR="004F1D55" w:rsidRDefault="00EB35E3" w:rsidP="00961A20">
      <w:r w:rsidRPr="00EB35E3">
        <w:rPr>
          <w:noProof/>
        </w:rPr>
        <w:drawing>
          <wp:inline distT="0" distB="0" distL="0" distR="0" wp14:anchorId="479C72DA" wp14:editId="6D10CA41">
            <wp:extent cx="5742842" cy="4644586"/>
            <wp:effectExtent l="95250" t="19050" r="10795" b="99060"/>
            <wp:docPr id="1686269823" name="Picture 1" descr="A map of the southern United States in 1860 displaying the distribution of the enslaved population across the South. &#10;Areas with greater than 50% enslaved populations include central Alabama, western Mississippi, eastern and southern Louisiana, and southeastern Texas. Areas with 30 - 50% enslaved populations include parts of eastern Mississippi, northern and south central Louisiana, and areas in southeast Texas surrounding the more heavily populated portions of the state. North central Texas had 10 - 30% enslaved populations and West Texas had less than 10% enslaved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69823" name="Picture 1" descr="A map of the southern United States in 1860 displaying the distribution of the enslaved population across the South. &#10;Areas with greater than 50% enslaved populations include central Alabama, western Mississippi, eastern and southern Louisiana, and southeastern Texas. Areas with 30 - 50% enslaved populations include parts of eastern Mississippi, northern and south central Louisiana, and areas in southeast Texas surrounding the more heavily populated portions of the state. North central Texas had 10 - 30% enslaved populations and West Texas had less than 10% enslaved populations"/>
                    <pic:cNvPicPr/>
                  </pic:nvPicPr>
                  <pic:blipFill>
                    <a:blip r:embed="rId10"/>
                    <a:stretch>
                      <a:fillRect/>
                    </a:stretch>
                  </pic:blipFill>
                  <pic:spPr>
                    <a:xfrm>
                      <a:off x="0" y="0"/>
                      <a:ext cx="5759300" cy="4657896"/>
                    </a:xfrm>
                    <a:prstGeom prst="rect">
                      <a:avLst/>
                    </a:prstGeom>
                    <a:effectLst>
                      <a:outerShdw blurRad="50800" dist="50800" dir="7920000" algn="ctr" rotWithShape="0">
                        <a:srgbClr val="000000">
                          <a:alpha val="43137"/>
                        </a:srgbClr>
                      </a:outerShdw>
                    </a:effectLst>
                  </pic:spPr>
                </pic:pic>
              </a:graphicData>
            </a:graphic>
          </wp:inline>
        </w:drawing>
      </w:r>
      <w:r>
        <w:rPr>
          <w:rStyle w:val="FootnoteReference"/>
        </w:rPr>
        <w:footnoteReference w:id="5"/>
      </w:r>
    </w:p>
    <w:p w14:paraId="7BD0602E" w14:textId="272BA399" w:rsidR="00A57046" w:rsidRDefault="007D60DE" w:rsidP="00961A20">
      <w:r w:rsidRPr="007D60DE">
        <w:rPr>
          <w:b/>
          <w:bCs/>
          <w:i/>
          <w:iCs/>
        </w:rPr>
        <w:t>Note</w:t>
      </w:r>
      <w:r>
        <w:t>: This chart represents what percentage of the overall population was comprised of enslaved people for the locations shown.</w:t>
      </w:r>
    </w:p>
    <w:p w14:paraId="0F05B891" w14:textId="77777777" w:rsidR="00A57046" w:rsidRDefault="00A57046" w:rsidP="00961A20"/>
    <w:p w14:paraId="3BF524A1" w14:textId="77777777" w:rsidR="00A57046" w:rsidRDefault="00A57046" w:rsidP="00961A20"/>
    <w:tbl>
      <w:tblPr>
        <w:tblStyle w:val="TableGrid"/>
        <w:tblW w:w="0" w:type="auto"/>
        <w:tblLook w:val="04A0" w:firstRow="1" w:lastRow="0" w:firstColumn="1" w:lastColumn="0" w:noHBand="0" w:noVBand="1"/>
      </w:tblPr>
      <w:tblGrid>
        <w:gridCol w:w="9350"/>
      </w:tblGrid>
      <w:tr w:rsidR="00A813F5" w14:paraId="367762E7" w14:textId="77777777" w:rsidTr="00293536">
        <w:trPr>
          <w:trHeight w:val="674"/>
        </w:trPr>
        <w:tc>
          <w:tcPr>
            <w:tcW w:w="9350" w:type="dxa"/>
            <w:shd w:val="clear" w:color="auto" w:fill="D9D9D9" w:themeFill="background1" w:themeFillShade="D9"/>
            <w:vAlign w:val="center"/>
          </w:tcPr>
          <w:p w14:paraId="2B13ECFD" w14:textId="0B535AB9" w:rsidR="00A813F5" w:rsidRPr="00A9598B" w:rsidRDefault="00A813F5" w:rsidP="00293536">
            <w:pPr>
              <w:spacing w:line="276" w:lineRule="auto"/>
              <w:jc w:val="center"/>
              <w:rPr>
                <w:b/>
                <w:bCs/>
                <w:sz w:val="36"/>
                <w:szCs w:val="48"/>
              </w:rPr>
            </w:pPr>
            <w:r w:rsidRPr="0017601A">
              <w:rPr>
                <w:b/>
                <w:bCs/>
                <w:sz w:val="36"/>
                <w:szCs w:val="48"/>
              </w:rPr>
              <w:lastRenderedPageBreak/>
              <w:t xml:space="preserve">Station </w:t>
            </w:r>
            <w:r>
              <w:rPr>
                <w:b/>
                <w:bCs/>
                <w:sz w:val="36"/>
                <w:szCs w:val="48"/>
              </w:rPr>
              <w:t>5</w:t>
            </w:r>
          </w:p>
        </w:tc>
      </w:tr>
    </w:tbl>
    <w:p w14:paraId="2F7B5FB8" w14:textId="77777777" w:rsidR="00A813F5" w:rsidRPr="00AA592D" w:rsidRDefault="00A813F5" w:rsidP="00961A20">
      <w:pPr>
        <w:rPr>
          <w:sz w:val="8"/>
          <w:szCs w:val="4"/>
        </w:rPr>
      </w:pPr>
    </w:p>
    <w:p w14:paraId="5CC593DB" w14:textId="40529944" w:rsidR="00AA592D" w:rsidRPr="00961A20" w:rsidRDefault="00AA592D" w:rsidP="00694E31">
      <w:pPr>
        <w:jc w:val="center"/>
      </w:pPr>
      <w:r w:rsidRPr="00AA592D">
        <w:rPr>
          <w:noProof/>
        </w:rPr>
        <w:drawing>
          <wp:inline distT="0" distB="0" distL="0" distR="0" wp14:anchorId="70DDAA39" wp14:editId="68E6897A">
            <wp:extent cx="4923652" cy="6386732"/>
            <wp:effectExtent l="95250" t="19050" r="10795" b="90805"/>
            <wp:docPr id="932648248" name="Picture 1" descr="A poster advertising Oktoberfest. It reads, &quot;Mark your calendars for coming events at the German Free School: Oktoberfest! Live music and folk dancing, biergarten, German food and beer, Delicious desserts, family friendly fun, and lots of kid's activities. October 18, 11:00 am - 6:00 pm.&quot; It also advertises a Christmas market that ran Saturday, December 6th from 10 to 4. It was described as a &quot;Large selection of handcrafted wooden items imported from the Erzgebirge region of German, Bavarian Tolework, Blown Glass Ornaments, Embroidered Linens and More. All sales are tax free! Live performances of traditional German Christmas music and songs throughout the day plus a special visit by St. Nikolaus.&quot; Images on the poster include a nutcracker, German sausage, an accordion, and a German man wearing traditional lederho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48248" name="Picture 1" descr="A poster advertising Oktoberfest. It reads, &quot;Mark your calendars for coming events at the German Free School: Oktoberfest! Live music and folk dancing, biergarten, German food and beer, Delicious desserts, family friendly fun, and lots of kid's activities. October 18, 11:00 am - 6:00 pm.&quot; It also advertises a Christmas market that ran Saturday, December 6th from 10 to 4. It was described as a &quot;Large selection of handcrafted wooden items imported from the Erzgebirge region of German, Bavarian Tolework, Blown Glass Ornaments, Embroidered Linens and More. All sales are tax free! Live performances of traditional German Christmas music and songs throughout the day plus a special visit by St. Nikolaus.&quot; Images on the poster include a nutcracker, German sausage, an accordion, and a German man wearing traditional lederhosen. "/>
                    <pic:cNvPicPr/>
                  </pic:nvPicPr>
                  <pic:blipFill rotWithShape="1">
                    <a:blip r:embed="rId11"/>
                    <a:srcRect l="3472" t="576" r="2557" b="453"/>
                    <a:stretch>
                      <a:fillRect/>
                    </a:stretch>
                  </pic:blipFill>
                  <pic:spPr bwMode="auto">
                    <a:xfrm>
                      <a:off x="0" y="0"/>
                      <a:ext cx="4923652" cy="6386732"/>
                    </a:xfrm>
                    <a:prstGeom prst="rect">
                      <a:avLst/>
                    </a:prstGeom>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r>
        <w:rPr>
          <w:rStyle w:val="FootnoteReference"/>
        </w:rPr>
        <w:footnoteReference w:id="6"/>
      </w:r>
    </w:p>
    <w:sectPr w:rsidR="00AA592D" w:rsidRPr="00961A20">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9945A" w14:textId="77777777" w:rsidR="0017601A" w:rsidRDefault="0017601A" w:rsidP="0017601A">
      <w:pPr>
        <w:spacing w:after="0" w:line="240" w:lineRule="auto"/>
      </w:pPr>
      <w:r>
        <w:separator/>
      </w:r>
    </w:p>
  </w:endnote>
  <w:endnote w:type="continuationSeparator" w:id="0">
    <w:p w14:paraId="0D512B1E" w14:textId="77777777" w:rsidR="0017601A" w:rsidRDefault="0017601A" w:rsidP="00176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 Book">
    <w:altName w:val="Cambria"/>
    <w:panose1 w:val="00000000000000000000"/>
    <w:charset w:val="00"/>
    <w:family w:val="modern"/>
    <w:notTrueType/>
    <w:pitch w:val="variable"/>
    <w:sig w:usb0="A00000AF" w:usb1="50000048" w:usb2="00000000" w:usb3="00000000" w:csb0="0000011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444535"/>
      <w:docPartObj>
        <w:docPartGallery w:val="Page Numbers (Bottom of Page)"/>
        <w:docPartUnique/>
      </w:docPartObj>
    </w:sdtPr>
    <w:sdtEndPr>
      <w:rPr>
        <w:noProof/>
      </w:rPr>
    </w:sdtEndPr>
    <w:sdtContent>
      <w:p w14:paraId="1D84283D" w14:textId="2976CE4E" w:rsidR="00DD3BD1" w:rsidRDefault="00DD3BD1">
        <w:pPr>
          <w:pStyle w:val="Footer"/>
          <w:jc w:val="center"/>
        </w:pPr>
        <w:r>
          <w:rPr>
            <w:noProof/>
            <w:sz w:val="18"/>
            <w:szCs w:val="18"/>
          </w:rPr>
          <w:drawing>
            <wp:anchor distT="0" distB="0" distL="114300" distR="114300" simplePos="0" relativeHeight="251661312" behindDoc="1" locked="0" layoutInCell="1" allowOverlap="1" wp14:anchorId="6BCA9269" wp14:editId="53899DE3">
              <wp:simplePos x="0" y="0"/>
              <wp:positionH relativeFrom="margin">
                <wp:posOffset>5537835</wp:posOffset>
              </wp:positionH>
              <wp:positionV relativeFrom="paragraph">
                <wp:posOffset>-103505</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1B16FE48" w14:textId="3C170122" w:rsidR="00DD3BD1" w:rsidRDefault="00DD3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83807" w14:textId="77777777" w:rsidR="0017601A" w:rsidRDefault="0017601A" w:rsidP="0017601A">
      <w:pPr>
        <w:spacing w:after="0" w:line="240" w:lineRule="auto"/>
      </w:pPr>
      <w:r>
        <w:separator/>
      </w:r>
    </w:p>
  </w:footnote>
  <w:footnote w:type="continuationSeparator" w:id="0">
    <w:p w14:paraId="2F25F606" w14:textId="77777777" w:rsidR="0017601A" w:rsidRDefault="0017601A" w:rsidP="0017601A">
      <w:pPr>
        <w:spacing w:after="0" w:line="240" w:lineRule="auto"/>
      </w:pPr>
      <w:r>
        <w:continuationSeparator/>
      </w:r>
    </w:p>
  </w:footnote>
  <w:footnote w:id="1">
    <w:p w14:paraId="74E20C2E" w14:textId="456BABD6" w:rsidR="00820178" w:rsidRDefault="00820178">
      <w:pPr>
        <w:pStyle w:val="FootnoteText"/>
      </w:pPr>
      <w:r>
        <w:rPr>
          <w:rStyle w:val="FootnoteReference"/>
        </w:rPr>
        <w:footnoteRef/>
      </w:r>
      <w:r>
        <w:t xml:space="preserve"> </w:t>
      </w:r>
      <w:r w:rsidR="00F77E81">
        <w:t xml:space="preserve">An infographic using information from the following source: </w:t>
      </w:r>
      <w:r w:rsidRPr="00961A20">
        <w:t>Birthplace of Texas residents 1850-2022</w:t>
      </w:r>
      <w:r>
        <w:t xml:space="preserve">. </w:t>
      </w:r>
      <w:r w:rsidRPr="00961A20">
        <w:t>Texas Migration History 1850-2022</w:t>
      </w:r>
      <w:r>
        <w:rPr>
          <w:b/>
          <w:bCs/>
        </w:rPr>
        <w:t xml:space="preserve">. </w:t>
      </w:r>
      <w:r>
        <w:t xml:space="preserve">America’s Great Migration Project. University of Washington.  Accessed on July 22, 2025. </w:t>
      </w:r>
      <w:hyperlink r:id="rId1" w:history="1">
        <w:r w:rsidRPr="00A9598B">
          <w:rPr>
            <w:rStyle w:val="Hyperlink"/>
          </w:rPr>
          <w:t>Texas</w:t>
        </w:r>
        <w:r w:rsidR="00732965">
          <w:rPr>
            <w:rStyle w:val="Hyperlink"/>
          </w:rPr>
          <w:t xml:space="preserve"> </w:t>
        </w:r>
        <w:r w:rsidRPr="00A9598B">
          <w:rPr>
            <w:rStyle w:val="Hyperlink"/>
          </w:rPr>
          <w:t>Migration History 1850-2022 - America's Great Migrations</w:t>
        </w:r>
      </w:hyperlink>
    </w:p>
  </w:footnote>
  <w:footnote w:id="2">
    <w:p w14:paraId="40D69459" w14:textId="4E75848E" w:rsidR="00A9598B" w:rsidRDefault="00A9598B">
      <w:pPr>
        <w:pStyle w:val="FootnoteText"/>
      </w:pPr>
      <w:r>
        <w:rPr>
          <w:rStyle w:val="FootnoteReference"/>
        </w:rPr>
        <w:footnoteRef/>
      </w:r>
      <w:r>
        <w:t xml:space="preserve"> </w:t>
      </w:r>
      <w:r w:rsidRPr="00A9598B">
        <w:rPr>
          <w:b/>
          <w:bCs/>
          <w:i/>
          <w:iCs/>
        </w:rPr>
        <w:t>Demographic</w:t>
      </w:r>
      <w:r>
        <w:t>: Related to the different groups of people within a larger population</w:t>
      </w:r>
    </w:p>
  </w:footnote>
  <w:footnote w:id="3">
    <w:p w14:paraId="55D36CF0" w14:textId="5B507D93" w:rsidR="004D2B1B" w:rsidRPr="004D2B1B" w:rsidRDefault="00883BF5" w:rsidP="004D2B1B">
      <w:pPr>
        <w:pStyle w:val="FootnoteText"/>
      </w:pPr>
      <w:r>
        <w:rPr>
          <w:rStyle w:val="FootnoteReference"/>
        </w:rPr>
        <w:footnoteRef/>
      </w:r>
      <w:r>
        <w:t xml:space="preserve"> </w:t>
      </w:r>
      <w:r w:rsidR="00F77E81">
        <w:t xml:space="preserve">An infographic using information from the following source: </w:t>
      </w:r>
      <w:r>
        <w:t xml:space="preserve">Birthplace of Texas Residents, 1850. </w:t>
      </w:r>
      <w:r w:rsidRPr="00961A20">
        <w:t>Texas Migration History 1850-2022</w:t>
      </w:r>
      <w:r>
        <w:rPr>
          <w:b/>
          <w:bCs/>
        </w:rPr>
        <w:t xml:space="preserve">. </w:t>
      </w:r>
      <w:r>
        <w:t xml:space="preserve">America’s Great Migration Project. University of Washington.  Accessed on July 22, 2025. </w:t>
      </w:r>
      <w:hyperlink r:id="rId2" w:history="1">
        <w:r w:rsidRPr="00A9598B">
          <w:rPr>
            <w:rStyle w:val="Hyperlink"/>
          </w:rPr>
          <w:t>TexasMigration History 1850-2022 - America's Great Migrations</w:t>
        </w:r>
      </w:hyperlink>
      <w:r w:rsidR="004D2B1B">
        <w:t xml:space="preserve">. Data placed on a map from Wikimedia Commons: </w:t>
      </w:r>
      <w:r w:rsidR="004D2B1B" w:rsidRPr="004D2B1B">
        <w:t>A large blank world map with oceans marked in blue</w:t>
      </w:r>
      <w:r w:rsidR="004D2B1B">
        <w:t xml:space="preserve">. Accessed on July 22, 2025. </w:t>
      </w:r>
      <w:hyperlink r:id="rId3" w:history="1">
        <w:r w:rsidR="004D2B1B" w:rsidRPr="004F256E">
          <w:rPr>
            <w:rStyle w:val="Hyperlink"/>
          </w:rPr>
          <w:t>https://commons.wikimedia.org/wiki/File:20230519193449!A_large_blank_world_map_with_oceans_marked_in_blue_(1).png</w:t>
        </w:r>
      </w:hyperlink>
      <w:r w:rsidR="004D2B1B">
        <w:t xml:space="preserve"> </w:t>
      </w:r>
    </w:p>
    <w:p w14:paraId="7D69D7BD" w14:textId="2B072036" w:rsidR="00883BF5" w:rsidRDefault="00883BF5">
      <w:pPr>
        <w:pStyle w:val="FootnoteText"/>
      </w:pPr>
    </w:p>
  </w:footnote>
  <w:footnote w:id="4">
    <w:p w14:paraId="5FEDDAAE" w14:textId="39583DAB" w:rsidR="00F02691" w:rsidRDefault="00F02691">
      <w:pPr>
        <w:pStyle w:val="FootnoteText"/>
      </w:pPr>
      <w:r>
        <w:rPr>
          <w:rStyle w:val="FootnoteReference"/>
        </w:rPr>
        <w:footnoteRef/>
      </w:r>
      <w:r>
        <w:t xml:space="preserve"> </w:t>
      </w:r>
      <w:r w:rsidR="00F77E81">
        <w:t xml:space="preserve">An infographic using information from the following source: </w:t>
      </w:r>
      <w:r w:rsidRPr="00F02691">
        <w:t>Population Growth from Early Texas Settlers</w:t>
      </w:r>
      <w:r>
        <w:t xml:space="preserve">, 1800 – 1850. Accessed on July 22, 2025. </w:t>
      </w:r>
      <w:hyperlink r:id="rId4" w:history="1">
        <w:r w:rsidRPr="00F02691">
          <w:rPr>
            <w:rStyle w:val="Hyperlink"/>
          </w:rPr>
          <w:t>Population Growth from Early Texas Settlers - Texas Proud</w:t>
        </w:r>
      </w:hyperlink>
    </w:p>
  </w:footnote>
  <w:footnote w:id="5">
    <w:p w14:paraId="3393F1DD" w14:textId="7C384627" w:rsidR="00EB35E3" w:rsidRPr="00EB35E3" w:rsidRDefault="00EB35E3" w:rsidP="00EB35E3">
      <w:pPr>
        <w:pStyle w:val="FootnoteText"/>
      </w:pPr>
      <w:r w:rsidRPr="00EB35E3">
        <w:rPr>
          <w:rStyle w:val="FootnoteReference"/>
        </w:rPr>
        <w:footnoteRef/>
      </w:r>
      <w:r w:rsidRPr="00EB35E3">
        <w:t xml:space="preserve"> Map Showing the Distribution of the Slave Population of the Southern States of the United States</w:t>
      </w:r>
      <w:r>
        <w:t xml:space="preserve">. </w:t>
      </w:r>
      <w:r w:rsidRPr="00EB35E3">
        <w:t>Compiled from the Census of 1860</w:t>
      </w:r>
      <w:r>
        <w:t xml:space="preserve">. GIS Educational Maps. Texas General Land Office. Accessed on July 22, 2025. </w:t>
      </w:r>
      <w:hyperlink r:id="rId5" w:history="1">
        <w:r w:rsidR="003328FC" w:rsidRPr="003328FC">
          <w:rPr>
            <w:rStyle w:val="Hyperlink"/>
          </w:rPr>
          <w:t>GIS Educational Maps | GIS Educational Maps | GIS Educational Maps | Showcase | Texas GLO</w:t>
        </w:r>
      </w:hyperlink>
    </w:p>
    <w:p w14:paraId="1471E1B2" w14:textId="4DB28BA4" w:rsidR="00EB35E3" w:rsidRDefault="00EB35E3">
      <w:pPr>
        <w:pStyle w:val="FootnoteText"/>
      </w:pPr>
    </w:p>
  </w:footnote>
  <w:footnote w:id="6">
    <w:p w14:paraId="7989A098" w14:textId="600FEA68" w:rsidR="00AA592D" w:rsidRDefault="00AA592D">
      <w:pPr>
        <w:pStyle w:val="FootnoteText"/>
      </w:pPr>
      <w:r>
        <w:rPr>
          <w:rStyle w:val="FootnoteReference"/>
        </w:rPr>
        <w:footnoteRef/>
      </w:r>
      <w:r>
        <w:t xml:space="preserve"> </w:t>
      </w:r>
      <w:proofErr w:type="gramStart"/>
      <w:r w:rsidRPr="00AA592D">
        <w:t>German-Texan</w:t>
      </w:r>
      <w:proofErr w:type="gramEnd"/>
      <w:r w:rsidRPr="00AA592D">
        <w:t xml:space="preserve"> Heritage Society. </w:t>
      </w:r>
      <w:proofErr w:type="gramStart"/>
      <w:r w:rsidRPr="00AA592D">
        <w:t>German-Texan</w:t>
      </w:r>
      <w:proofErr w:type="gramEnd"/>
      <w:r w:rsidRPr="00AA592D">
        <w:t xml:space="preserve"> Heritage Society, The Journal, Volume 36, Number 3, Fall 2014, periodical, Autumn </w:t>
      </w:r>
      <w:proofErr w:type="gramStart"/>
      <w:r w:rsidRPr="00AA592D">
        <w:t>2014;</w:t>
      </w:r>
      <w:proofErr w:type="gramEnd"/>
      <w:r w:rsidRPr="00AA592D">
        <w:t> Austin, Texas.</w:t>
      </w:r>
      <w:r>
        <w:t xml:space="preserve"> </w:t>
      </w:r>
      <w:r w:rsidRPr="00AA592D">
        <w:t>(</w:t>
      </w:r>
      <w:hyperlink r:id="rId6" w:history="1">
        <w:r w:rsidRPr="00AA592D">
          <w:rPr>
            <w:rStyle w:val="Hyperlink"/>
          </w:rPr>
          <w:t>https://texashistory.unt.edu/ark:/67531/metapth1507496/</w:t>
        </w:r>
      </w:hyperlink>
      <w:r w:rsidRPr="00AA592D">
        <w:t>: accessed July 22, 2025), University of North Texas Libraries, The Portal to Texas History, </w:t>
      </w:r>
      <w:hyperlink r:id="rId7" w:history="1">
        <w:r w:rsidRPr="00AA592D">
          <w:rPr>
            <w:rStyle w:val="Hyperlink"/>
          </w:rPr>
          <w:t>https://texashistory.unt.edu</w:t>
        </w:r>
      </w:hyperlink>
      <w:r w:rsidRPr="00AA592D">
        <w:t>; crediting German-Texan Heritage Society.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F16A5" w14:textId="120C4F95" w:rsidR="0017601A" w:rsidRPr="0017601A" w:rsidRDefault="0017601A">
    <w:pPr>
      <w:pStyle w:val="Header"/>
      <w:rPr>
        <w:sz w:val="32"/>
        <w:szCs w:val="40"/>
      </w:rPr>
    </w:pPr>
    <w:r w:rsidRPr="0017601A">
      <w:rPr>
        <w:noProof/>
        <w:sz w:val="32"/>
        <w:szCs w:val="40"/>
      </w:rPr>
      <w:drawing>
        <wp:anchor distT="0" distB="0" distL="114300" distR="114300" simplePos="0" relativeHeight="251659264" behindDoc="1" locked="0" layoutInCell="1" allowOverlap="1" wp14:anchorId="196C1412" wp14:editId="1C514A65">
          <wp:simplePos x="0" y="0"/>
          <wp:positionH relativeFrom="column">
            <wp:posOffset>-162560</wp:posOffset>
          </wp:positionH>
          <wp:positionV relativeFrom="paragraph">
            <wp:posOffset>-213360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1563942637"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01A">
      <w:rPr>
        <w:sz w:val="32"/>
        <w:szCs w:val="40"/>
      </w:rPr>
      <w:ptab w:relativeTo="margin" w:alignment="center" w:leader="none"/>
    </w:r>
    <w:r w:rsidRPr="0017601A">
      <w:rPr>
        <w:sz w:val="32"/>
        <w:szCs w:val="40"/>
      </w:rPr>
      <w:t>Population &amp; Settlement of the Early Statehood Era</w:t>
    </w:r>
    <w:r w:rsidRPr="0017601A">
      <w:rPr>
        <w:sz w:val="32"/>
        <w:szCs w:val="40"/>
      </w:rP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70F"/>
    <w:rsid w:val="0008370F"/>
    <w:rsid w:val="0017601A"/>
    <w:rsid w:val="001A281D"/>
    <w:rsid w:val="001B4B2F"/>
    <w:rsid w:val="001F6398"/>
    <w:rsid w:val="003328FC"/>
    <w:rsid w:val="00347DBD"/>
    <w:rsid w:val="004D2B1B"/>
    <w:rsid w:val="004F1D55"/>
    <w:rsid w:val="0065438C"/>
    <w:rsid w:val="00694E31"/>
    <w:rsid w:val="00732965"/>
    <w:rsid w:val="007D60DE"/>
    <w:rsid w:val="00820178"/>
    <w:rsid w:val="0086370A"/>
    <w:rsid w:val="00883BF5"/>
    <w:rsid w:val="00961A20"/>
    <w:rsid w:val="00963012"/>
    <w:rsid w:val="009A1343"/>
    <w:rsid w:val="009B1F11"/>
    <w:rsid w:val="009B7378"/>
    <w:rsid w:val="009F7AC1"/>
    <w:rsid w:val="00A57046"/>
    <w:rsid w:val="00A813F5"/>
    <w:rsid w:val="00A9598B"/>
    <w:rsid w:val="00AA592D"/>
    <w:rsid w:val="00B13ADC"/>
    <w:rsid w:val="00BD507D"/>
    <w:rsid w:val="00C14353"/>
    <w:rsid w:val="00C91765"/>
    <w:rsid w:val="00D75E2B"/>
    <w:rsid w:val="00DD3BD1"/>
    <w:rsid w:val="00E13105"/>
    <w:rsid w:val="00EB35E3"/>
    <w:rsid w:val="00F02691"/>
    <w:rsid w:val="00F0566A"/>
    <w:rsid w:val="00F77E81"/>
    <w:rsid w:val="00F94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24F2F"/>
  <w15:chartTrackingRefBased/>
  <w15:docId w15:val="{E6AEE913-0983-4A75-B757-D8434EB35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37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837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370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370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8370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8370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8370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8370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8370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37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837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370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370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8370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8370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8370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8370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8370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837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37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370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370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8370F"/>
    <w:pPr>
      <w:spacing w:before="160"/>
      <w:jc w:val="center"/>
    </w:pPr>
    <w:rPr>
      <w:i/>
      <w:iCs/>
      <w:color w:val="404040" w:themeColor="text1" w:themeTint="BF"/>
    </w:rPr>
  </w:style>
  <w:style w:type="character" w:customStyle="1" w:styleId="QuoteChar">
    <w:name w:val="Quote Char"/>
    <w:basedOn w:val="DefaultParagraphFont"/>
    <w:link w:val="Quote"/>
    <w:uiPriority w:val="29"/>
    <w:rsid w:val="0008370F"/>
    <w:rPr>
      <w:i/>
      <w:iCs/>
      <w:color w:val="404040" w:themeColor="text1" w:themeTint="BF"/>
    </w:rPr>
  </w:style>
  <w:style w:type="paragraph" w:styleId="ListParagraph">
    <w:name w:val="List Paragraph"/>
    <w:basedOn w:val="Normal"/>
    <w:uiPriority w:val="34"/>
    <w:qFormat/>
    <w:rsid w:val="0008370F"/>
    <w:pPr>
      <w:ind w:left="720"/>
      <w:contextualSpacing/>
    </w:pPr>
  </w:style>
  <w:style w:type="character" w:styleId="IntenseEmphasis">
    <w:name w:val="Intense Emphasis"/>
    <w:basedOn w:val="DefaultParagraphFont"/>
    <w:uiPriority w:val="21"/>
    <w:qFormat/>
    <w:rsid w:val="0008370F"/>
    <w:rPr>
      <w:i/>
      <w:iCs/>
      <w:color w:val="0F4761" w:themeColor="accent1" w:themeShade="BF"/>
    </w:rPr>
  </w:style>
  <w:style w:type="paragraph" w:styleId="IntenseQuote">
    <w:name w:val="Intense Quote"/>
    <w:basedOn w:val="Normal"/>
    <w:next w:val="Normal"/>
    <w:link w:val="IntenseQuoteChar"/>
    <w:uiPriority w:val="30"/>
    <w:qFormat/>
    <w:rsid w:val="000837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370F"/>
    <w:rPr>
      <w:i/>
      <w:iCs/>
      <w:color w:val="0F4761" w:themeColor="accent1" w:themeShade="BF"/>
    </w:rPr>
  </w:style>
  <w:style w:type="character" w:styleId="IntenseReference">
    <w:name w:val="Intense Reference"/>
    <w:basedOn w:val="DefaultParagraphFont"/>
    <w:uiPriority w:val="32"/>
    <w:qFormat/>
    <w:rsid w:val="0008370F"/>
    <w:rPr>
      <w:b/>
      <w:bCs/>
      <w:smallCaps/>
      <w:color w:val="0F4761" w:themeColor="accent1" w:themeShade="BF"/>
      <w:spacing w:val="5"/>
    </w:rPr>
  </w:style>
  <w:style w:type="paragraph" w:styleId="Header">
    <w:name w:val="header"/>
    <w:basedOn w:val="Normal"/>
    <w:link w:val="HeaderChar"/>
    <w:uiPriority w:val="99"/>
    <w:unhideWhenUsed/>
    <w:rsid w:val="001760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601A"/>
  </w:style>
  <w:style w:type="paragraph" w:styleId="Footer">
    <w:name w:val="footer"/>
    <w:basedOn w:val="Normal"/>
    <w:link w:val="FooterChar"/>
    <w:uiPriority w:val="99"/>
    <w:unhideWhenUsed/>
    <w:rsid w:val="001760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601A"/>
  </w:style>
  <w:style w:type="table" w:styleId="TableGrid">
    <w:name w:val="Table Grid"/>
    <w:basedOn w:val="TableNormal"/>
    <w:uiPriority w:val="39"/>
    <w:rsid w:val="0017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61A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A20"/>
    <w:rPr>
      <w:sz w:val="20"/>
      <w:szCs w:val="20"/>
    </w:rPr>
  </w:style>
  <w:style w:type="character" w:styleId="FootnoteReference">
    <w:name w:val="footnote reference"/>
    <w:basedOn w:val="DefaultParagraphFont"/>
    <w:uiPriority w:val="99"/>
    <w:semiHidden/>
    <w:unhideWhenUsed/>
    <w:rsid w:val="00961A20"/>
    <w:rPr>
      <w:vertAlign w:val="superscript"/>
    </w:rPr>
  </w:style>
  <w:style w:type="character" w:styleId="Hyperlink">
    <w:name w:val="Hyperlink"/>
    <w:basedOn w:val="DefaultParagraphFont"/>
    <w:uiPriority w:val="99"/>
    <w:unhideWhenUsed/>
    <w:rsid w:val="00A9598B"/>
    <w:rPr>
      <w:color w:val="467886" w:themeColor="hyperlink"/>
      <w:u w:val="single"/>
    </w:rPr>
  </w:style>
  <w:style w:type="character" w:styleId="UnresolvedMention">
    <w:name w:val="Unresolved Mention"/>
    <w:basedOn w:val="DefaultParagraphFont"/>
    <w:uiPriority w:val="99"/>
    <w:semiHidden/>
    <w:unhideWhenUsed/>
    <w:rsid w:val="00A9598B"/>
    <w:rPr>
      <w:color w:val="605E5C"/>
      <w:shd w:val="clear" w:color="auto" w:fill="E1DFDD"/>
    </w:rPr>
  </w:style>
  <w:style w:type="character" w:styleId="FollowedHyperlink">
    <w:name w:val="FollowedHyperlink"/>
    <w:basedOn w:val="DefaultParagraphFont"/>
    <w:uiPriority w:val="99"/>
    <w:semiHidden/>
    <w:unhideWhenUsed/>
    <w:rsid w:val="00A813F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22247">
      <w:bodyDiv w:val="1"/>
      <w:marLeft w:val="0"/>
      <w:marRight w:val="0"/>
      <w:marTop w:val="0"/>
      <w:marBottom w:val="0"/>
      <w:divBdr>
        <w:top w:val="none" w:sz="0" w:space="0" w:color="auto"/>
        <w:left w:val="none" w:sz="0" w:space="0" w:color="auto"/>
        <w:bottom w:val="none" w:sz="0" w:space="0" w:color="auto"/>
        <w:right w:val="none" w:sz="0" w:space="0" w:color="auto"/>
      </w:divBdr>
    </w:div>
    <w:div w:id="272640877">
      <w:bodyDiv w:val="1"/>
      <w:marLeft w:val="0"/>
      <w:marRight w:val="0"/>
      <w:marTop w:val="0"/>
      <w:marBottom w:val="0"/>
      <w:divBdr>
        <w:top w:val="none" w:sz="0" w:space="0" w:color="auto"/>
        <w:left w:val="none" w:sz="0" w:space="0" w:color="auto"/>
        <w:bottom w:val="none" w:sz="0" w:space="0" w:color="auto"/>
        <w:right w:val="none" w:sz="0" w:space="0" w:color="auto"/>
      </w:divBdr>
    </w:div>
    <w:div w:id="278608734">
      <w:bodyDiv w:val="1"/>
      <w:marLeft w:val="0"/>
      <w:marRight w:val="0"/>
      <w:marTop w:val="0"/>
      <w:marBottom w:val="0"/>
      <w:divBdr>
        <w:top w:val="none" w:sz="0" w:space="0" w:color="auto"/>
        <w:left w:val="none" w:sz="0" w:space="0" w:color="auto"/>
        <w:bottom w:val="none" w:sz="0" w:space="0" w:color="auto"/>
        <w:right w:val="none" w:sz="0" w:space="0" w:color="auto"/>
      </w:divBdr>
    </w:div>
    <w:div w:id="307130932">
      <w:bodyDiv w:val="1"/>
      <w:marLeft w:val="0"/>
      <w:marRight w:val="0"/>
      <w:marTop w:val="0"/>
      <w:marBottom w:val="0"/>
      <w:divBdr>
        <w:top w:val="none" w:sz="0" w:space="0" w:color="auto"/>
        <w:left w:val="none" w:sz="0" w:space="0" w:color="auto"/>
        <w:bottom w:val="none" w:sz="0" w:space="0" w:color="auto"/>
        <w:right w:val="none" w:sz="0" w:space="0" w:color="auto"/>
      </w:divBdr>
    </w:div>
    <w:div w:id="1033649568">
      <w:bodyDiv w:val="1"/>
      <w:marLeft w:val="0"/>
      <w:marRight w:val="0"/>
      <w:marTop w:val="0"/>
      <w:marBottom w:val="0"/>
      <w:divBdr>
        <w:top w:val="none" w:sz="0" w:space="0" w:color="auto"/>
        <w:left w:val="none" w:sz="0" w:space="0" w:color="auto"/>
        <w:bottom w:val="none" w:sz="0" w:space="0" w:color="auto"/>
        <w:right w:val="none" w:sz="0" w:space="0" w:color="auto"/>
      </w:divBdr>
    </w:div>
    <w:div w:id="1077169504">
      <w:bodyDiv w:val="1"/>
      <w:marLeft w:val="0"/>
      <w:marRight w:val="0"/>
      <w:marTop w:val="0"/>
      <w:marBottom w:val="0"/>
      <w:divBdr>
        <w:top w:val="none" w:sz="0" w:space="0" w:color="auto"/>
        <w:left w:val="none" w:sz="0" w:space="0" w:color="auto"/>
        <w:bottom w:val="none" w:sz="0" w:space="0" w:color="auto"/>
        <w:right w:val="none" w:sz="0" w:space="0" w:color="auto"/>
      </w:divBdr>
    </w:div>
    <w:div w:id="1372921524">
      <w:bodyDiv w:val="1"/>
      <w:marLeft w:val="0"/>
      <w:marRight w:val="0"/>
      <w:marTop w:val="0"/>
      <w:marBottom w:val="0"/>
      <w:divBdr>
        <w:top w:val="none" w:sz="0" w:space="0" w:color="auto"/>
        <w:left w:val="none" w:sz="0" w:space="0" w:color="auto"/>
        <w:bottom w:val="none" w:sz="0" w:space="0" w:color="auto"/>
        <w:right w:val="none" w:sz="0" w:space="0" w:color="auto"/>
      </w:divBdr>
    </w:div>
    <w:div w:id="1887327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commons.wikimedia.org/wiki/File:20230519193449!A_large_blank_world_map_with_oceans_marked_in_blue_(1).png" TargetMode="External"/><Relationship Id="rId7" Type="http://schemas.openxmlformats.org/officeDocument/2006/relationships/hyperlink" Target="https://texashistory.unt.edu/" TargetMode="External"/><Relationship Id="rId2" Type="http://schemas.openxmlformats.org/officeDocument/2006/relationships/hyperlink" Target="https://depts.washington.edu/moving1/Texas.shtml" TargetMode="External"/><Relationship Id="rId1" Type="http://schemas.openxmlformats.org/officeDocument/2006/relationships/hyperlink" Target="https://depts.washington.edu/moving1/Texas.shtml" TargetMode="External"/><Relationship Id="rId6" Type="http://schemas.openxmlformats.org/officeDocument/2006/relationships/hyperlink" Target="https://texashistory.unt.edu/ark:/67531/metapth1507496/" TargetMode="External"/><Relationship Id="rId5" Type="http://schemas.openxmlformats.org/officeDocument/2006/relationships/hyperlink" Target="https://historictexasmaps.com/showcase/showcase/gis-educational-maps" TargetMode="External"/><Relationship Id="rId4" Type="http://schemas.openxmlformats.org/officeDocument/2006/relationships/hyperlink" Target="https://texasproud.com/population-growth-texas-settl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Birthplace</a:t>
            </a:r>
            <a:r>
              <a:rPr lang="en-US" baseline="0"/>
              <a:t> of Texas Residents,</a:t>
            </a:r>
            <a:r>
              <a:rPr lang="en-US"/>
              <a:t> 1850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Birthplace of Texas Residents, 1850</c:v>
                </c:pt>
              </c:strCache>
            </c:strRef>
          </c:tx>
          <c:spPr>
            <a:solidFill>
              <a:schemeClr val="accent1"/>
            </a:solidFill>
            <a:ln>
              <a:noFill/>
            </a:ln>
            <a:effectLst/>
          </c:spPr>
          <c:invertIfNegative val="0"/>
          <c:cat>
            <c:strRef>
              <c:f>Sheet1!$A$2:$A$11</c:f>
              <c:strCache>
                <c:ptCount val="10"/>
                <c:pt idx="0">
                  <c:v>Texas</c:v>
                </c:pt>
                <c:pt idx="1">
                  <c:v>Tennessee</c:v>
                </c:pt>
                <c:pt idx="2">
                  <c:v>Alabama</c:v>
                </c:pt>
                <c:pt idx="3">
                  <c:v>Germany</c:v>
                </c:pt>
                <c:pt idx="4">
                  <c:v>Georgia</c:v>
                </c:pt>
                <c:pt idx="5">
                  <c:v>Mississippi</c:v>
                </c:pt>
                <c:pt idx="6">
                  <c:v>North Carolina</c:v>
                </c:pt>
                <c:pt idx="7">
                  <c:v>South Carolina</c:v>
                </c:pt>
                <c:pt idx="8">
                  <c:v>Louisiana</c:v>
                </c:pt>
                <c:pt idx="9">
                  <c:v>Mexico</c:v>
                </c:pt>
              </c:strCache>
            </c:strRef>
          </c:cat>
          <c:val>
            <c:numRef>
              <c:f>Sheet1!$B$2:$B$11</c:f>
              <c:numCache>
                <c:formatCode>#,##0</c:formatCode>
                <c:ptCount val="10"/>
                <c:pt idx="0">
                  <c:v>41210</c:v>
                </c:pt>
                <c:pt idx="1">
                  <c:v>18269</c:v>
                </c:pt>
                <c:pt idx="2">
                  <c:v>15463</c:v>
                </c:pt>
                <c:pt idx="3">
                  <c:v>10522</c:v>
                </c:pt>
                <c:pt idx="4">
                  <c:v>10522</c:v>
                </c:pt>
                <c:pt idx="5">
                  <c:v>6885</c:v>
                </c:pt>
                <c:pt idx="6">
                  <c:v>6142</c:v>
                </c:pt>
                <c:pt idx="7">
                  <c:v>4580</c:v>
                </c:pt>
                <c:pt idx="8">
                  <c:v>4477</c:v>
                </c:pt>
                <c:pt idx="9">
                  <c:v>4329</c:v>
                </c:pt>
              </c:numCache>
            </c:numRef>
          </c:val>
          <c:extLst>
            <c:ext xmlns:c16="http://schemas.microsoft.com/office/drawing/2014/chart" uri="{C3380CC4-5D6E-409C-BE32-E72D297353CC}">
              <c16:uniqueId val="{00000000-73F1-4AF6-A4BC-91F6E288DFFA}"/>
            </c:ext>
          </c:extLst>
        </c:ser>
        <c:dLbls>
          <c:showLegendKey val="0"/>
          <c:showVal val="0"/>
          <c:showCatName val="0"/>
          <c:showSerName val="0"/>
          <c:showPercent val="0"/>
          <c:showBubbleSize val="0"/>
        </c:dLbls>
        <c:gapWidth val="219"/>
        <c:overlap val="-27"/>
        <c:axId val="1227760399"/>
        <c:axId val="1227762319"/>
      </c:barChart>
      <c:catAx>
        <c:axId val="1227760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762319"/>
        <c:crosses val="autoZero"/>
        <c:auto val="1"/>
        <c:lblAlgn val="ctr"/>
        <c:lblOffset val="100"/>
        <c:noMultiLvlLbl val="0"/>
      </c:catAx>
      <c:valAx>
        <c:axId val="12277623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7603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Non-Indian Population of Texas, 1800 - 1860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Free, Non-Indian Population</c:v>
                </c:pt>
              </c:strCache>
            </c:strRef>
          </c:tx>
          <c:spPr>
            <a:ln w="28575" cap="rnd">
              <a:solidFill>
                <a:schemeClr val="accent1"/>
              </a:solidFill>
              <a:round/>
            </a:ln>
            <a:effectLst/>
          </c:spPr>
          <c:marker>
            <c:symbol val="none"/>
          </c:marker>
          <c:cat>
            <c:numRef>
              <c:f>Sheet1!$A$2:$A$8</c:f>
              <c:numCache>
                <c:formatCode>General</c:formatCode>
                <c:ptCount val="7"/>
                <c:pt idx="0">
                  <c:v>1800</c:v>
                </c:pt>
                <c:pt idx="1">
                  <c:v>1810</c:v>
                </c:pt>
                <c:pt idx="2">
                  <c:v>1820</c:v>
                </c:pt>
                <c:pt idx="3">
                  <c:v>1830</c:v>
                </c:pt>
                <c:pt idx="4">
                  <c:v>1840</c:v>
                </c:pt>
                <c:pt idx="5">
                  <c:v>1850</c:v>
                </c:pt>
                <c:pt idx="6">
                  <c:v>1860</c:v>
                </c:pt>
              </c:numCache>
            </c:numRef>
          </c:cat>
          <c:val>
            <c:numRef>
              <c:f>Sheet1!$B$2:$B$8</c:f>
              <c:numCache>
                <c:formatCode>#,##0</c:formatCode>
                <c:ptCount val="7"/>
                <c:pt idx="0">
                  <c:v>4000</c:v>
                </c:pt>
                <c:pt idx="1">
                  <c:v>4000</c:v>
                </c:pt>
                <c:pt idx="2">
                  <c:v>4000</c:v>
                </c:pt>
                <c:pt idx="3">
                  <c:v>22000</c:v>
                </c:pt>
                <c:pt idx="4">
                  <c:v>72000</c:v>
                </c:pt>
                <c:pt idx="5">
                  <c:v>210000</c:v>
                </c:pt>
                <c:pt idx="6">
                  <c:v>604000</c:v>
                </c:pt>
              </c:numCache>
            </c:numRef>
          </c:val>
          <c:smooth val="0"/>
          <c:extLst>
            <c:ext xmlns:c16="http://schemas.microsoft.com/office/drawing/2014/chart" uri="{C3380CC4-5D6E-409C-BE32-E72D297353CC}">
              <c16:uniqueId val="{00000000-CCAC-42CB-9C80-5962F1AF7610}"/>
            </c:ext>
          </c:extLst>
        </c:ser>
        <c:ser>
          <c:idx val="1"/>
          <c:order val="1"/>
          <c:tx>
            <c:strRef>
              <c:f>Sheet1!$C$1</c:f>
              <c:strCache>
                <c:ptCount val="1"/>
                <c:pt idx="0">
                  <c:v>Enslaved Population</c:v>
                </c:pt>
              </c:strCache>
            </c:strRef>
          </c:tx>
          <c:spPr>
            <a:ln w="28575" cap="rnd">
              <a:solidFill>
                <a:schemeClr val="accent2"/>
              </a:solidFill>
              <a:round/>
            </a:ln>
            <a:effectLst/>
          </c:spPr>
          <c:marker>
            <c:symbol val="none"/>
          </c:marker>
          <c:cat>
            <c:numRef>
              <c:f>Sheet1!$A$2:$A$8</c:f>
              <c:numCache>
                <c:formatCode>General</c:formatCode>
                <c:ptCount val="7"/>
                <c:pt idx="0">
                  <c:v>1800</c:v>
                </c:pt>
                <c:pt idx="1">
                  <c:v>1810</c:v>
                </c:pt>
                <c:pt idx="2">
                  <c:v>1820</c:v>
                </c:pt>
                <c:pt idx="3">
                  <c:v>1830</c:v>
                </c:pt>
                <c:pt idx="4">
                  <c:v>1840</c:v>
                </c:pt>
                <c:pt idx="5">
                  <c:v>1850</c:v>
                </c:pt>
                <c:pt idx="6">
                  <c:v>1860</c:v>
                </c:pt>
              </c:numCache>
            </c:numRef>
          </c:cat>
          <c:val>
            <c:numRef>
              <c:f>Sheet1!$C$2:$C$8</c:f>
              <c:numCache>
                <c:formatCode>General</c:formatCode>
                <c:ptCount val="7"/>
                <c:pt idx="3" formatCode="#,##0">
                  <c:v>5000</c:v>
                </c:pt>
                <c:pt idx="4" formatCode="#,##0">
                  <c:v>11323</c:v>
                </c:pt>
                <c:pt idx="5" formatCode="#,##0">
                  <c:v>58161</c:v>
                </c:pt>
                <c:pt idx="6" formatCode="#,##0">
                  <c:v>182566</c:v>
                </c:pt>
              </c:numCache>
            </c:numRef>
          </c:val>
          <c:smooth val="0"/>
          <c:extLst>
            <c:ext xmlns:c16="http://schemas.microsoft.com/office/drawing/2014/chart" uri="{C3380CC4-5D6E-409C-BE32-E72D297353CC}">
              <c16:uniqueId val="{00000003-CCAC-42CB-9C80-5962F1AF7610}"/>
            </c:ext>
          </c:extLst>
        </c:ser>
        <c:dLbls>
          <c:showLegendKey val="0"/>
          <c:showVal val="0"/>
          <c:showCatName val="0"/>
          <c:showSerName val="0"/>
          <c:showPercent val="0"/>
          <c:showBubbleSize val="0"/>
        </c:dLbls>
        <c:smooth val="0"/>
        <c:axId val="1227745039"/>
        <c:axId val="1227753199"/>
      </c:lineChart>
      <c:catAx>
        <c:axId val="1227745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753199"/>
        <c:crosses val="autoZero"/>
        <c:auto val="1"/>
        <c:lblAlgn val="ctr"/>
        <c:lblOffset val="100"/>
        <c:noMultiLvlLbl val="0"/>
      </c:catAx>
      <c:valAx>
        <c:axId val="12277531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745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103BF-661F-470C-9F27-D254898AB0BE}">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367</TotalTime>
  <Pages>5</Pages>
  <Words>214</Words>
  <Characters>1263</Characters>
  <Application>Microsoft Office Word</Application>
  <DocSecurity>0</DocSecurity>
  <Lines>39</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8</cp:revision>
  <dcterms:created xsi:type="dcterms:W3CDTF">2025-07-22T16:38:00Z</dcterms:created>
  <dcterms:modified xsi:type="dcterms:W3CDTF">2025-08-08T13:56:00Z</dcterms:modified>
</cp:coreProperties>
</file>