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CellSpacing w:w="93" w:type="dxa"/>
        <w:tblLook w:val="04A0" w:firstRow="1" w:lastRow="0" w:firstColumn="1" w:lastColumn="0" w:noHBand="0" w:noVBand="1"/>
      </w:tblPr>
      <w:tblGrid>
        <w:gridCol w:w="4680"/>
        <w:gridCol w:w="4670"/>
      </w:tblGrid>
      <w:tr w:rsidR="001A32D9" w:rsidRPr="00E71A3A" w14:paraId="4E120FCF" w14:textId="77777777" w:rsidTr="00C02A54">
        <w:trPr>
          <w:cantSplit/>
          <w:trHeight w:hRule="exact" w:val="2880"/>
          <w:tblCellSpacing w:w="93" w:type="dxa"/>
        </w:trPr>
        <w:tc>
          <w:tcPr>
            <w:tcW w:w="4675" w:type="dxa"/>
            <w:shd w:val="clear" w:color="auto" w:fill="D9D9D9" w:themeFill="background1" w:themeFillShade="D9"/>
            <w:vAlign w:val="center"/>
          </w:tcPr>
          <w:p w14:paraId="5E1AA65B" w14:textId="6B47C6FE" w:rsidR="001A32D9" w:rsidRPr="00EC0166" w:rsidRDefault="00EC0166" w:rsidP="00084FC1">
            <w:pPr>
              <w:jc w:val="center"/>
              <w:rPr>
                <w:rFonts w:ascii="Gothambook" w:hAnsi="Gothambook"/>
                <w:sz w:val="48"/>
                <w:szCs w:val="48"/>
              </w:rPr>
            </w:pPr>
            <w:bookmarkStart w:id="0" w:name="_Hlk216087508"/>
            <w:r w:rsidRPr="00EC0166">
              <w:rPr>
                <w:rFonts w:ascii="Gothambook" w:hAnsi="Gothambook"/>
                <w:sz w:val="48"/>
                <w:szCs w:val="48"/>
              </w:rPr>
              <w:t>El New Deal</w:t>
            </w:r>
          </w:p>
        </w:tc>
        <w:tc>
          <w:tcPr>
            <w:tcW w:w="4675" w:type="dxa"/>
            <w:vAlign w:val="center"/>
          </w:tcPr>
          <w:p w14:paraId="3F6CDAC8" w14:textId="5AF97C7D" w:rsidR="001A32D9" w:rsidRPr="00E71A3A" w:rsidRDefault="00EC0166" w:rsidP="00084FC1">
            <w:pPr>
              <w:jc w:val="center"/>
              <w:rPr>
                <w:rFonts w:ascii="Gothambook" w:hAnsi="Gothambook"/>
                <w:sz w:val="32"/>
                <w:szCs w:val="32"/>
              </w:rPr>
            </w:pPr>
            <w:r>
              <w:rPr>
                <w:rFonts w:ascii="Gothambook" w:hAnsi="Gothambook"/>
                <w:sz w:val="32"/>
                <w:szCs w:val="32"/>
              </w:rPr>
              <w:t>El programa del presidente Franklin D. Roosevelt para abordar los desafíos de la Gran Depresión, que se centraba en proporcionar alivio, recuperación y reformas.</w:t>
            </w:r>
          </w:p>
        </w:tc>
      </w:tr>
      <w:tr w:rsidR="001A32D9" w:rsidRPr="00E71A3A" w14:paraId="0ABAD8B4" w14:textId="77777777" w:rsidTr="00C02A54">
        <w:trPr>
          <w:cantSplit/>
          <w:trHeight w:hRule="exact" w:val="2880"/>
          <w:tblCellSpacing w:w="93" w:type="dxa"/>
        </w:trPr>
        <w:tc>
          <w:tcPr>
            <w:tcW w:w="4675" w:type="dxa"/>
            <w:shd w:val="clear" w:color="auto" w:fill="D9D9D9" w:themeFill="background1" w:themeFillShade="D9"/>
            <w:vAlign w:val="center"/>
          </w:tcPr>
          <w:p w14:paraId="25F55A48" w14:textId="40D43386" w:rsidR="001A32D9" w:rsidRPr="00EC0166" w:rsidRDefault="00EC0166" w:rsidP="00084FC1">
            <w:pPr>
              <w:jc w:val="center"/>
              <w:rPr>
                <w:rFonts w:ascii="Gothambook" w:hAnsi="Gothambook"/>
                <w:sz w:val="48"/>
                <w:szCs w:val="48"/>
              </w:rPr>
            </w:pPr>
            <w:r>
              <w:rPr>
                <w:rFonts w:ascii="Gothambook" w:hAnsi="Gothambook"/>
                <w:sz w:val="48"/>
                <w:szCs w:val="48"/>
              </w:rPr>
              <w:t>El Dust Bowl</w:t>
            </w:r>
          </w:p>
        </w:tc>
        <w:tc>
          <w:tcPr>
            <w:tcW w:w="4675" w:type="dxa"/>
            <w:vAlign w:val="center"/>
          </w:tcPr>
          <w:p w14:paraId="50954D14" w14:textId="167D4485" w:rsidR="001A32D9" w:rsidRPr="00E71A3A" w:rsidRDefault="00EC0166" w:rsidP="00084FC1">
            <w:pPr>
              <w:jc w:val="center"/>
              <w:rPr>
                <w:rFonts w:ascii="Gothambook" w:hAnsi="Gothambook"/>
                <w:sz w:val="32"/>
                <w:szCs w:val="32"/>
              </w:rPr>
            </w:pPr>
            <w:r>
              <w:rPr>
                <w:rFonts w:ascii="Gothambook" w:hAnsi="Gothambook"/>
                <w:sz w:val="32"/>
                <w:szCs w:val="32"/>
              </w:rPr>
              <w:t xml:space="preserve">Tormentas de tierra masivas que ocurrieron en las Grandes Llanuras durante la década de 1930. </w:t>
            </w:r>
          </w:p>
        </w:tc>
      </w:tr>
      <w:tr w:rsidR="001A32D9" w:rsidRPr="00E71A3A" w14:paraId="1274FFF9" w14:textId="77777777" w:rsidTr="00C02A54">
        <w:trPr>
          <w:cantSplit/>
          <w:trHeight w:hRule="exact" w:val="2880"/>
          <w:tblCellSpacing w:w="93" w:type="dxa"/>
        </w:trPr>
        <w:tc>
          <w:tcPr>
            <w:tcW w:w="4675" w:type="dxa"/>
            <w:shd w:val="clear" w:color="auto" w:fill="D9D9D9" w:themeFill="background1" w:themeFillShade="D9"/>
            <w:vAlign w:val="center"/>
          </w:tcPr>
          <w:p w14:paraId="3D181C1A" w14:textId="603EC165" w:rsidR="001A32D9" w:rsidRPr="00EC0166" w:rsidRDefault="00EC0166" w:rsidP="00084FC1">
            <w:pPr>
              <w:jc w:val="center"/>
              <w:rPr>
                <w:rFonts w:ascii="Gothambook" w:hAnsi="Gothambook"/>
                <w:sz w:val="48"/>
                <w:szCs w:val="48"/>
              </w:rPr>
            </w:pPr>
            <w:r>
              <w:rPr>
                <w:rFonts w:ascii="Gothambook" w:hAnsi="Gothambook"/>
                <w:sz w:val="48"/>
                <w:szCs w:val="48"/>
              </w:rPr>
              <w:t>Erosión</w:t>
            </w:r>
          </w:p>
        </w:tc>
        <w:tc>
          <w:tcPr>
            <w:tcW w:w="4675" w:type="dxa"/>
            <w:vAlign w:val="center"/>
          </w:tcPr>
          <w:p w14:paraId="60FAD973" w14:textId="4A65E0D9" w:rsidR="001A32D9" w:rsidRPr="00E71A3A" w:rsidRDefault="00EC0166" w:rsidP="00084FC1">
            <w:pPr>
              <w:jc w:val="center"/>
              <w:rPr>
                <w:rFonts w:ascii="Gothambook" w:hAnsi="Gothambook"/>
                <w:sz w:val="32"/>
                <w:szCs w:val="32"/>
              </w:rPr>
            </w:pPr>
            <w:r>
              <w:rPr>
                <w:rFonts w:ascii="Gothambook" w:hAnsi="Gothambook"/>
                <w:sz w:val="32"/>
                <w:szCs w:val="32"/>
              </w:rPr>
              <w:t>El proceso de desgaste del suelo, roca u otros materiales terrestres por el viento o el agua. El suelo seco de las Grandes Llanuras fue arrastrado por los intensos vientos en la región.</w:t>
            </w:r>
          </w:p>
        </w:tc>
      </w:tr>
      <w:tr w:rsidR="001A32D9" w:rsidRPr="00E71A3A" w14:paraId="7DF08A79" w14:textId="77777777" w:rsidTr="00C02A54">
        <w:trPr>
          <w:cantSplit/>
          <w:trHeight w:hRule="exact" w:val="2880"/>
          <w:tblCellSpacing w:w="93" w:type="dxa"/>
        </w:trPr>
        <w:tc>
          <w:tcPr>
            <w:tcW w:w="4675" w:type="dxa"/>
            <w:shd w:val="clear" w:color="auto" w:fill="D9D9D9" w:themeFill="background1" w:themeFillShade="D9"/>
            <w:vAlign w:val="center"/>
          </w:tcPr>
          <w:p w14:paraId="2D8CBC37" w14:textId="5F5E666B" w:rsidR="001A32D9" w:rsidRPr="00EC0166" w:rsidRDefault="00EC0166" w:rsidP="00084FC1">
            <w:pPr>
              <w:jc w:val="center"/>
              <w:rPr>
                <w:rFonts w:ascii="Gothambook" w:hAnsi="Gothambook"/>
                <w:sz w:val="48"/>
                <w:szCs w:val="48"/>
              </w:rPr>
            </w:pPr>
            <w:r>
              <w:rPr>
                <w:rFonts w:ascii="Gothambook" w:hAnsi="Gothambook"/>
                <w:sz w:val="48"/>
                <w:szCs w:val="48"/>
              </w:rPr>
              <w:t>Legislación</w:t>
            </w:r>
          </w:p>
        </w:tc>
        <w:tc>
          <w:tcPr>
            <w:tcW w:w="4675" w:type="dxa"/>
            <w:vAlign w:val="center"/>
          </w:tcPr>
          <w:p w14:paraId="0B1D4BC5" w14:textId="7B10C860" w:rsidR="001A32D9" w:rsidRPr="00E71A3A" w:rsidRDefault="00EC0166" w:rsidP="00084FC1">
            <w:pPr>
              <w:jc w:val="center"/>
              <w:rPr>
                <w:rFonts w:ascii="Gothambook" w:hAnsi="Gothambook"/>
                <w:sz w:val="32"/>
                <w:szCs w:val="32"/>
              </w:rPr>
            </w:pPr>
            <w:r>
              <w:rPr>
                <w:rFonts w:ascii="Gothambook" w:hAnsi="Gothambook"/>
                <w:sz w:val="32"/>
                <w:szCs w:val="32"/>
              </w:rPr>
              <w:t>Otra palabra para "leyes". Durante la Gran Depresión, se aprobaron varias leyes como parte del New Deal para proporcionar alivio, recuperación y reforma al pueblo estadounidense.</w:t>
            </w:r>
          </w:p>
        </w:tc>
      </w:tr>
      <w:tr w:rsidR="001A32D9" w:rsidRPr="00E71A3A" w14:paraId="4A0E3DB2" w14:textId="77777777" w:rsidTr="00C02A54">
        <w:trPr>
          <w:cantSplit/>
          <w:trHeight w:hRule="exact" w:val="2880"/>
          <w:tblCellSpacing w:w="93" w:type="dxa"/>
        </w:trPr>
        <w:tc>
          <w:tcPr>
            <w:tcW w:w="4675" w:type="dxa"/>
            <w:shd w:val="clear" w:color="auto" w:fill="D9D9D9" w:themeFill="background1" w:themeFillShade="D9"/>
            <w:vAlign w:val="center"/>
          </w:tcPr>
          <w:p w14:paraId="0FFD2FDB" w14:textId="5563A198" w:rsidR="001A32D9" w:rsidRPr="00EC0166" w:rsidRDefault="00EC0166" w:rsidP="00084FC1">
            <w:pPr>
              <w:jc w:val="center"/>
              <w:rPr>
                <w:rFonts w:ascii="Gothambook" w:hAnsi="Gothambook"/>
                <w:sz w:val="48"/>
                <w:szCs w:val="48"/>
              </w:rPr>
            </w:pPr>
            <w:r>
              <w:rPr>
                <w:rFonts w:ascii="Gothambook" w:hAnsi="Gothambook"/>
                <w:sz w:val="48"/>
                <w:szCs w:val="48"/>
              </w:rPr>
              <w:lastRenderedPageBreak/>
              <w:t>Sam Rayburn</w:t>
            </w:r>
          </w:p>
        </w:tc>
        <w:tc>
          <w:tcPr>
            <w:tcW w:w="4675" w:type="dxa"/>
            <w:vAlign w:val="center"/>
          </w:tcPr>
          <w:p w14:paraId="7F21AD9C" w14:textId="26921377" w:rsidR="001A32D9" w:rsidRPr="00E71A3A" w:rsidRDefault="00EC0166" w:rsidP="00084FC1">
            <w:pPr>
              <w:jc w:val="center"/>
              <w:rPr>
                <w:rFonts w:ascii="Gothambook" w:hAnsi="Gothambook"/>
                <w:sz w:val="32"/>
                <w:szCs w:val="32"/>
              </w:rPr>
            </w:pPr>
            <w:r>
              <w:rPr>
                <w:rFonts w:ascii="Gothambook" w:hAnsi="Gothambook"/>
                <w:sz w:val="32"/>
                <w:szCs w:val="32"/>
              </w:rPr>
              <w:t xml:space="preserve">Sirvió en el Congreso de los Estados Unidos como el presidente de la Cámara con más años de servicio y fue fundamental para ayudar a aprobar importantes leyes del New Deal. </w:t>
            </w:r>
          </w:p>
        </w:tc>
      </w:tr>
      <w:tr w:rsidR="001A32D9" w:rsidRPr="00E71A3A" w14:paraId="25D77A16" w14:textId="77777777" w:rsidTr="00C02A54">
        <w:trPr>
          <w:cantSplit/>
          <w:trHeight w:hRule="exact" w:val="2880"/>
          <w:tblCellSpacing w:w="93" w:type="dxa"/>
        </w:trPr>
        <w:tc>
          <w:tcPr>
            <w:tcW w:w="4675" w:type="dxa"/>
            <w:shd w:val="clear" w:color="auto" w:fill="D9D9D9" w:themeFill="background1" w:themeFillShade="D9"/>
            <w:vAlign w:val="center"/>
          </w:tcPr>
          <w:p w14:paraId="20FDF51C" w14:textId="55EAC8D0" w:rsidR="001A32D9" w:rsidRPr="00EC0166" w:rsidRDefault="00EC0166" w:rsidP="00084FC1">
            <w:pPr>
              <w:jc w:val="center"/>
              <w:rPr>
                <w:rFonts w:ascii="Gothambook" w:hAnsi="Gothambook"/>
                <w:sz w:val="48"/>
                <w:szCs w:val="48"/>
              </w:rPr>
            </w:pPr>
            <w:r>
              <w:rPr>
                <w:rFonts w:ascii="Gothambook" w:hAnsi="Gothambook"/>
                <w:sz w:val="48"/>
                <w:szCs w:val="48"/>
              </w:rPr>
              <w:t>Desempleo</w:t>
            </w:r>
          </w:p>
        </w:tc>
        <w:tc>
          <w:tcPr>
            <w:tcW w:w="4675" w:type="dxa"/>
            <w:vAlign w:val="center"/>
          </w:tcPr>
          <w:p w14:paraId="49B0FC9A" w14:textId="763FAB00" w:rsidR="001A32D9" w:rsidRPr="00E71A3A" w:rsidRDefault="00EC0166" w:rsidP="00084FC1">
            <w:pPr>
              <w:jc w:val="center"/>
              <w:rPr>
                <w:rFonts w:ascii="Gothambook" w:hAnsi="Gothambook"/>
                <w:sz w:val="32"/>
                <w:szCs w:val="32"/>
              </w:rPr>
            </w:pPr>
            <w:r>
              <w:rPr>
                <w:rFonts w:ascii="Gothambook" w:hAnsi="Gothambook"/>
                <w:sz w:val="32"/>
                <w:szCs w:val="32"/>
              </w:rPr>
              <w:t>El número o porcentaje de personas que están sin trabajo. Durante la Gran Depresión, esta cifra aumentó al 25% en 1933.</w:t>
            </w:r>
          </w:p>
        </w:tc>
      </w:tr>
      <w:tr w:rsidR="001A32D9" w:rsidRPr="00E71A3A" w14:paraId="147E5BB7" w14:textId="77777777" w:rsidTr="00C02A54">
        <w:trPr>
          <w:cantSplit/>
          <w:trHeight w:hRule="exact" w:val="2880"/>
          <w:tblCellSpacing w:w="93" w:type="dxa"/>
        </w:trPr>
        <w:tc>
          <w:tcPr>
            <w:tcW w:w="4675" w:type="dxa"/>
            <w:shd w:val="clear" w:color="auto" w:fill="D9D9D9" w:themeFill="background1" w:themeFillShade="D9"/>
            <w:vAlign w:val="center"/>
          </w:tcPr>
          <w:p w14:paraId="4463E556" w14:textId="6644B3D7" w:rsidR="001A32D9" w:rsidRPr="00EC0166" w:rsidRDefault="00EC0166" w:rsidP="00084FC1">
            <w:pPr>
              <w:jc w:val="center"/>
              <w:rPr>
                <w:rFonts w:ascii="Gothambook" w:hAnsi="Gothambook"/>
                <w:sz w:val="48"/>
                <w:szCs w:val="48"/>
              </w:rPr>
            </w:pPr>
            <w:r>
              <w:rPr>
                <w:rFonts w:ascii="Gothambook" w:hAnsi="Gothambook"/>
                <w:sz w:val="48"/>
                <w:szCs w:val="48"/>
              </w:rPr>
              <w:t>John Nance Garner</w:t>
            </w:r>
          </w:p>
        </w:tc>
        <w:tc>
          <w:tcPr>
            <w:tcW w:w="4675" w:type="dxa"/>
            <w:vAlign w:val="center"/>
          </w:tcPr>
          <w:p w14:paraId="4761F845" w14:textId="78D0936C" w:rsidR="001A32D9" w:rsidRPr="00E71A3A" w:rsidRDefault="00EC0166" w:rsidP="00084FC1">
            <w:pPr>
              <w:jc w:val="center"/>
              <w:rPr>
                <w:rFonts w:ascii="Gothambook" w:hAnsi="Gothambook"/>
                <w:sz w:val="32"/>
                <w:szCs w:val="32"/>
              </w:rPr>
            </w:pPr>
            <w:r>
              <w:rPr>
                <w:rFonts w:ascii="Gothambook" w:hAnsi="Gothambook"/>
                <w:sz w:val="32"/>
                <w:szCs w:val="32"/>
              </w:rPr>
              <w:t>Sirvió en la legislatura estatal y de EE. UU., además de ser vicepresidente de Franklin D. Roosevelt durante su primera etapa en el cargo.</w:t>
            </w:r>
          </w:p>
        </w:tc>
      </w:tr>
      <w:tr w:rsidR="001A32D9" w:rsidRPr="00C02A54" w14:paraId="05C36D4E" w14:textId="77777777" w:rsidTr="00C02A54">
        <w:trPr>
          <w:cantSplit/>
          <w:trHeight w:hRule="exact" w:val="2880"/>
          <w:tblCellSpacing w:w="93" w:type="dxa"/>
        </w:trPr>
        <w:tc>
          <w:tcPr>
            <w:tcW w:w="4675" w:type="dxa"/>
            <w:shd w:val="clear" w:color="auto" w:fill="D9D9D9" w:themeFill="background1" w:themeFillShade="D9"/>
            <w:vAlign w:val="center"/>
          </w:tcPr>
          <w:p w14:paraId="18A48B07" w14:textId="6E19842A" w:rsidR="00EC0166" w:rsidRPr="00EC0166" w:rsidRDefault="00EC0166" w:rsidP="00EC0166">
            <w:pPr>
              <w:jc w:val="center"/>
              <w:rPr>
                <w:rFonts w:ascii="Gothambook" w:hAnsi="Gothambook"/>
                <w:sz w:val="48"/>
                <w:szCs w:val="48"/>
              </w:rPr>
            </w:pPr>
            <w:r>
              <w:rPr>
                <w:rFonts w:ascii="Gothambook" w:hAnsi="Gothambook"/>
                <w:sz w:val="48"/>
                <w:szCs w:val="48"/>
              </w:rPr>
              <w:t>Ciclo de auge y caída</w:t>
            </w:r>
          </w:p>
        </w:tc>
        <w:tc>
          <w:tcPr>
            <w:tcW w:w="4675" w:type="dxa"/>
            <w:vAlign w:val="center"/>
          </w:tcPr>
          <w:p w14:paraId="7B7655B8" w14:textId="7D10370F" w:rsidR="001A32D9" w:rsidRPr="005E4477" w:rsidRDefault="005E4477" w:rsidP="00084FC1">
            <w:pPr>
              <w:jc w:val="center"/>
              <w:rPr>
                <w:rFonts w:ascii="Gothambook" w:hAnsi="Gothambook"/>
                <w:sz w:val="30"/>
                <w:szCs w:val="28"/>
              </w:rPr>
            </w:pPr>
            <w:r w:rsidRPr="005E4477">
              <w:rPr>
                <w:rFonts w:ascii="Gothambook" w:hAnsi="Gothambook"/>
                <w:sz w:val="30"/>
                <w:szCs w:val="28"/>
              </w:rPr>
              <w:t>Periodos de crecimiento económico seguidos por un declive económico. Durante la Gran Depresión, la industria petrolera de Texas produjo excedente de petróleo, lo que provocó una caída de los precios y provocó un declive de la industria petrolera.</w:t>
            </w:r>
          </w:p>
        </w:tc>
      </w:tr>
      <w:bookmarkEnd w:id="0"/>
    </w:tbl>
    <w:p w14:paraId="63996A62" w14:textId="2D2E6A3B" w:rsidR="0065438C" w:rsidRDefault="0065438C"/>
    <w:tbl>
      <w:tblPr>
        <w:tblStyle w:val="TableGrid"/>
        <w:tblW w:w="0" w:type="auto"/>
        <w:tblCellSpacing w:w="93" w:type="dxa"/>
        <w:tblLook w:val="04A0" w:firstRow="1" w:lastRow="0" w:firstColumn="1" w:lastColumn="0" w:noHBand="0" w:noVBand="1"/>
      </w:tblPr>
      <w:tblGrid>
        <w:gridCol w:w="4712"/>
        <w:gridCol w:w="4638"/>
      </w:tblGrid>
      <w:tr w:rsidR="00EC0166" w:rsidRPr="00E71A3A" w14:paraId="7100C5B0" w14:textId="77777777" w:rsidTr="004D57C6">
        <w:trPr>
          <w:cantSplit/>
          <w:trHeight w:hRule="exact" w:val="2880"/>
          <w:tblCellSpacing w:w="93" w:type="dxa"/>
        </w:trPr>
        <w:tc>
          <w:tcPr>
            <w:tcW w:w="4675" w:type="dxa"/>
            <w:shd w:val="clear" w:color="auto" w:fill="D9D9D9" w:themeFill="background1" w:themeFillShade="D9"/>
            <w:vAlign w:val="center"/>
          </w:tcPr>
          <w:p w14:paraId="7D580357" w14:textId="34CC3E12" w:rsidR="00EC0166" w:rsidRPr="00EC0166" w:rsidRDefault="00EC0166" w:rsidP="004D57C6">
            <w:pPr>
              <w:jc w:val="center"/>
              <w:rPr>
                <w:rFonts w:ascii="Gothambook" w:hAnsi="Gothambook"/>
                <w:sz w:val="48"/>
                <w:szCs w:val="48"/>
              </w:rPr>
            </w:pPr>
            <w:r>
              <w:rPr>
                <w:rFonts w:ascii="Gothambook" w:hAnsi="Gothambook"/>
                <w:sz w:val="48"/>
                <w:szCs w:val="48"/>
              </w:rPr>
              <w:lastRenderedPageBreak/>
              <w:t>Depresión económica</w:t>
            </w:r>
          </w:p>
        </w:tc>
        <w:tc>
          <w:tcPr>
            <w:tcW w:w="4675" w:type="dxa"/>
            <w:vAlign w:val="center"/>
          </w:tcPr>
          <w:p w14:paraId="34851844" w14:textId="16CF7DF5" w:rsidR="00EC0166" w:rsidRPr="00E71A3A" w:rsidRDefault="005E4477" w:rsidP="004D57C6">
            <w:pPr>
              <w:jc w:val="center"/>
              <w:rPr>
                <w:rFonts w:ascii="Gothambook" w:hAnsi="Gothambook"/>
                <w:sz w:val="32"/>
                <w:szCs w:val="32"/>
              </w:rPr>
            </w:pPr>
            <w:r>
              <w:rPr>
                <w:rFonts w:ascii="Gothambook" w:hAnsi="Gothambook"/>
                <w:sz w:val="32"/>
                <w:szCs w:val="32"/>
              </w:rPr>
              <w:t>Un periodo severo de declive financiero en una sociedad. La Gran Depresión fue la peor de estas en la historia de Estados Unidos, lo que provocó un aumento del desempleo y quiebras bancarias y empresariales.</w:t>
            </w:r>
          </w:p>
        </w:tc>
      </w:tr>
      <w:tr w:rsidR="00EC0166" w:rsidRPr="00E71A3A" w14:paraId="0A43C8D6" w14:textId="77777777" w:rsidTr="004D57C6">
        <w:trPr>
          <w:cantSplit/>
          <w:trHeight w:hRule="exact" w:val="2880"/>
          <w:tblCellSpacing w:w="93" w:type="dxa"/>
        </w:trPr>
        <w:tc>
          <w:tcPr>
            <w:tcW w:w="4675" w:type="dxa"/>
            <w:shd w:val="clear" w:color="auto" w:fill="D9D9D9" w:themeFill="background1" w:themeFillShade="D9"/>
            <w:vAlign w:val="center"/>
          </w:tcPr>
          <w:p w14:paraId="0B3ED460" w14:textId="77777777" w:rsidR="00EC0166" w:rsidRDefault="00EC0166" w:rsidP="004D57C6">
            <w:pPr>
              <w:jc w:val="center"/>
              <w:rPr>
                <w:rFonts w:ascii="Gothambook" w:hAnsi="Gothambook"/>
                <w:sz w:val="48"/>
                <w:szCs w:val="48"/>
              </w:rPr>
            </w:pPr>
            <w:r>
              <w:rPr>
                <w:rFonts w:ascii="Gothambook" w:hAnsi="Gothambook"/>
                <w:sz w:val="48"/>
                <w:szCs w:val="48"/>
              </w:rPr>
              <w:t xml:space="preserve">Alivio, recuperación, </w:t>
            </w:r>
          </w:p>
          <w:p w14:paraId="45ACDABC" w14:textId="12420ECF" w:rsidR="00EC0166" w:rsidRPr="00EC0166" w:rsidRDefault="00EC0166" w:rsidP="004D57C6">
            <w:pPr>
              <w:jc w:val="center"/>
              <w:rPr>
                <w:rFonts w:ascii="Gothambook" w:hAnsi="Gothambook"/>
                <w:sz w:val="48"/>
                <w:szCs w:val="48"/>
              </w:rPr>
            </w:pPr>
            <w:r>
              <w:rPr>
                <w:rFonts w:ascii="Gothambook" w:hAnsi="Gothambook"/>
                <w:sz w:val="48"/>
                <w:szCs w:val="48"/>
              </w:rPr>
              <w:t>y Reforma</w:t>
            </w:r>
          </w:p>
        </w:tc>
        <w:tc>
          <w:tcPr>
            <w:tcW w:w="4675" w:type="dxa"/>
            <w:vAlign w:val="center"/>
          </w:tcPr>
          <w:p w14:paraId="13504A6C" w14:textId="1352D97D" w:rsidR="00EC0166" w:rsidRPr="00E71A3A" w:rsidRDefault="005E4477" w:rsidP="004D57C6">
            <w:pPr>
              <w:jc w:val="center"/>
              <w:rPr>
                <w:rFonts w:ascii="Gothambook" w:hAnsi="Gothambook"/>
                <w:sz w:val="32"/>
                <w:szCs w:val="32"/>
              </w:rPr>
            </w:pPr>
            <w:r>
              <w:rPr>
                <w:rFonts w:ascii="Gothambook" w:hAnsi="Gothambook"/>
                <w:sz w:val="32"/>
                <w:szCs w:val="32"/>
              </w:rPr>
              <w:t>Estos eran los objetivos del programa del New Deal del presidente Roosevelt. Quería ayudar a los estadounidenses en dificultades a encontrar trabajo y recuperarse, y solucionar los problemas que llevaron a la depresión.</w:t>
            </w:r>
          </w:p>
        </w:tc>
      </w:tr>
      <w:tr w:rsidR="00EC0166" w:rsidRPr="00E71A3A" w14:paraId="5A957E4E" w14:textId="77777777" w:rsidTr="004D57C6">
        <w:trPr>
          <w:cantSplit/>
          <w:trHeight w:hRule="exact" w:val="2880"/>
          <w:tblCellSpacing w:w="93" w:type="dxa"/>
        </w:trPr>
        <w:tc>
          <w:tcPr>
            <w:tcW w:w="4675" w:type="dxa"/>
            <w:shd w:val="clear" w:color="auto" w:fill="D9D9D9" w:themeFill="background1" w:themeFillShade="D9"/>
            <w:vAlign w:val="center"/>
          </w:tcPr>
          <w:p w14:paraId="657C64AD" w14:textId="2BB1DD90" w:rsidR="00EC0166" w:rsidRPr="00EC0166" w:rsidRDefault="00EC0166" w:rsidP="004D57C6">
            <w:pPr>
              <w:jc w:val="center"/>
              <w:rPr>
                <w:rFonts w:ascii="Gothambook" w:hAnsi="Gothambook"/>
                <w:sz w:val="48"/>
                <w:szCs w:val="48"/>
              </w:rPr>
            </w:pPr>
            <w:r>
              <w:rPr>
                <w:rFonts w:ascii="Gothambook" w:hAnsi="Gothambook"/>
                <w:sz w:val="48"/>
                <w:szCs w:val="48"/>
              </w:rPr>
              <w:t>Mercado de Valores</w:t>
            </w:r>
          </w:p>
        </w:tc>
        <w:tc>
          <w:tcPr>
            <w:tcW w:w="4675" w:type="dxa"/>
            <w:vAlign w:val="center"/>
          </w:tcPr>
          <w:p w14:paraId="702F1DC2" w14:textId="7CC41446" w:rsidR="00EC0166" w:rsidRPr="005E4477" w:rsidRDefault="005E4477" w:rsidP="004D57C6">
            <w:pPr>
              <w:jc w:val="center"/>
              <w:rPr>
                <w:rFonts w:ascii="Gothambook" w:hAnsi="Gothambook"/>
                <w:sz w:val="30"/>
                <w:szCs w:val="28"/>
              </w:rPr>
            </w:pPr>
            <w:r w:rsidRPr="005E4477">
              <w:rPr>
                <w:rFonts w:ascii="Gothambook" w:hAnsi="Gothambook"/>
                <w:sz w:val="30"/>
                <w:szCs w:val="28"/>
              </w:rPr>
              <w:t>Un mercado financiero en Nueva York que permite a la gente comprar partes de diferentes negocios para compartir los beneficios de los mismos. Se estrelló el 29 de octubre de 1929, dando inicio a la Gran Depresión.</w:t>
            </w:r>
          </w:p>
        </w:tc>
      </w:tr>
      <w:tr w:rsidR="00EC0166" w:rsidRPr="00C02A54" w14:paraId="568ED067" w14:textId="77777777" w:rsidTr="004D57C6">
        <w:trPr>
          <w:cantSplit/>
          <w:trHeight w:hRule="exact" w:val="2880"/>
          <w:tblCellSpacing w:w="93" w:type="dxa"/>
        </w:trPr>
        <w:tc>
          <w:tcPr>
            <w:tcW w:w="4675" w:type="dxa"/>
            <w:shd w:val="clear" w:color="auto" w:fill="D9D9D9" w:themeFill="background1" w:themeFillShade="D9"/>
            <w:vAlign w:val="center"/>
          </w:tcPr>
          <w:p w14:paraId="341B66A8" w14:textId="6829E504" w:rsidR="00EC0166" w:rsidRPr="00EC0166" w:rsidRDefault="00EC0166" w:rsidP="004D57C6">
            <w:pPr>
              <w:jc w:val="center"/>
              <w:rPr>
                <w:rFonts w:ascii="Gothambook" w:hAnsi="Gothambook"/>
                <w:sz w:val="48"/>
                <w:szCs w:val="48"/>
              </w:rPr>
            </w:pPr>
            <w:r>
              <w:rPr>
                <w:rFonts w:ascii="Gothambook" w:hAnsi="Gothambook"/>
                <w:sz w:val="48"/>
                <w:szCs w:val="48"/>
              </w:rPr>
              <w:t>En el margen</w:t>
            </w:r>
          </w:p>
        </w:tc>
        <w:tc>
          <w:tcPr>
            <w:tcW w:w="4675" w:type="dxa"/>
            <w:vAlign w:val="center"/>
          </w:tcPr>
          <w:p w14:paraId="1A3DF939" w14:textId="7E4E1044" w:rsidR="00EC0166" w:rsidRPr="00E71A3A" w:rsidRDefault="005E4477" w:rsidP="004D57C6">
            <w:pPr>
              <w:jc w:val="center"/>
              <w:rPr>
                <w:rFonts w:ascii="Gothambook" w:hAnsi="Gothambook"/>
                <w:sz w:val="32"/>
                <w:szCs w:val="32"/>
              </w:rPr>
            </w:pPr>
            <w:r>
              <w:rPr>
                <w:rFonts w:ascii="Gothambook" w:hAnsi="Gothambook"/>
                <w:sz w:val="32"/>
                <w:szCs w:val="32"/>
              </w:rPr>
              <w:t>Algunas personas que participaban en la bolsa compraban acciones de esta manera, lo que significaba que pedían dinero prestado para comprar acciones, lo cual era arriesgado y les endeudaba.</w:t>
            </w:r>
          </w:p>
        </w:tc>
      </w:tr>
    </w:tbl>
    <w:p w14:paraId="3FDDF14F" w14:textId="77777777" w:rsidR="00EC0166" w:rsidRDefault="00EC0166" w:rsidP="00EC0166"/>
    <w:tbl>
      <w:tblPr>
        <w:tblStyle w:val="TableGrid"/>
        <w:tblW w:w="0" w:type="auto"/>
        <w:tblCellSpacing w:w="93" w:type="dxa"/>
        <w:tblLook w:val="04A0" w:firstRow="1" w:lastRow="0" w:firstColumn="1" w:lastColumn="0" w:noHBand="0" w:noVBand="1"/>
      </w:tblPr>
      <w:tblGrid>
        <w:gridCol w:w="4701"/>
        <w:gridCol w:w="4649"/>
      </w:tblGrid>
      <w:tr w:rsidR="00EC0166" w:rsidRPr="00E71A3A" w14:paraId="33549AFA" w14:textId="77777777" w:rsidTr="004D57C6">
        <w:trPr>
          <w:cantSplit/>
          <w:trHeight w:hRule="exact" w:val="2880"/>
          <w:tblCellSpacing w:w="93" w:type="dxa"/>
        </w:trPr>
        <w:tc>
          <w:tcPr>
            <w:tcW w:w="4675" w:type="dxa"/>
            <w:shd w:val="clear" w:color="auto" w:fill="D9D9D9" w:themeFill="background1" w:themeFillShade="D9"/>
            <w:vAlign w:val="center"/>
          </w:tcPr>
          <w:p w14:paraId="407F4123" w14:textId="19241231" w:rsidR="00EC0166" w:rsidRPr="00EC0166" w:rsidRDefault="00EC0166" w:rsidP="004D57C6">
            <w:pPr>
              <w:jc w:val="center"/>
              <w:rPr>
                <w:rFonts w:ascii="Gothambook" w:hAnsi="Gothambook"/>
                <w:sz w:val="48"/>
                <w:szCs w:val="48"/>
              </w:rPr>
            </w:pPr>
            <w:r>
              <w:rPr>
                <w:rFonts w:ascii="Gothambook" w:hAnsi="Gothambook"/>
                <w:sz w:val="48"/>
                <w:szCs w:val="48"/>
              </w:rPr>
              <w:lastRenderedPageBreak/>
              <w:t>Ecología</w:t>
            </w:r>
          </w:p>
        </w:tc>
        <w:tc>
          <w:tcPr>
            <w:tcW w:w="4675" w:type="dxa"/>
            <w:vAlign w:val="center"/>
          </w:tcPr>
          <w:p w14:paraId="6CF2A298" w14:textId="135B7A7E" w:rsidR="00EC0166" w:rsidRPr="00E71A3A" w:rsidRDefault="005E4477" w:rsidP="004D57C6">
            <w:pPr>
              <w:jc w:val="center"/>
              <w:rPr>
                <w:rFonts w:ascii="Gothambook" w:hAnsi="Gothambook"/>
                <w:sz w:val="32"/>
                <w:szCs w:val="32"/>
              </w:rPr>
            </w:pPr>
            <w:r>
              <w:rPr>
                <w:rFonts w:ascii="Gothambook" w:hAnsi="Gothambook"/>
                <w:sz w:val="32"/>
                <w:szCs w:val="32"/>
              </w:rPr>
              <w:t>El estudio de cómo interactúan todos los seres vivos en un entorno. El Dust Bowl durante la Gran Depresión fue el peor desastre ecológico en la historia de Estados Unidos.</w:t>
            </w:r>
          </w:p>
        </w:tc>
      </w:tr>
      <w:tr w:rsidR="00EC0166" w:rsidRPr="00E71A3A" w14:paraId="63983B29" w14:textId="77777777" w:rsidTr="004D57C6">
        <w:trPr>
          <w:cantSplit/>
          <w:trHeight w:hRule="exact" w:val="2880"/>
          <w:tblCellSpacing w:w="93" w:type="dxa"/>
        </w:trPr>
        <w:tc>
          <w:tcPr>
            <w:tcW w:w="4675" w:type="dxa"/>
            <w:shd w:val="clear" w:color="auto" w:fill="D9D9D9" w:themeFill="background1" w:themeFillShade="D9"/>
            <w:vAlign w:val="center"/>
          </w:tcPr>
          <w:p w14:paraId="4FCA491A" w14:textId="3298D460" w:rsidR="00EC0166" w:rsidRPr="00EC0166" w:rsidRDefault="00EC0166" w:rsidP="004D57C6">
            <w:pPr>
              <w:jc w:val="center"/>
              <w:rPr>
                <w:rFonts w:ascii="Gothambook" w:hAnsi="Gothambook"/>
                <w:sz w:val="48"/>
                <w:szCs w:val="48"/>
              </w:rPr>
            </w:pPr>
            <w:r>
              <w:rPr>
                <w:rFonts w:ascii="Gothambook" w:hAnsi="Gothambook"/>
                <w:sz w:val="48"/>
                <w:szCs w:val="48"/>
              </w:rPr>
              <w:t>Regulación</w:t>
            </w:r>
          </w:p>
        </w:tc>
        <w:tc>
          <w:tcPr>
            <w:tcW w:w="4675" w:type="dxa"/>
            <w:vAlign w:val="center"/>
          </w:tcPr>
          <w:p w14:paraId="1E6353F2" w14:textId="6572BD8D" w:rsidR="00EC0166" w:rsidRPr="00E71A3A" w:rsidRDefault="005E4477" w:rsidP="004D57C6">
            <w:pPr>
              <w:jc w:val="center"/>
              <w:rPr>
                <w:rFonts w:ascii="Gothambook" w:hAnsi="Gothambook"/>
                <w:sz w:val="32"/>
                <w:szCs w:val="32"/>
              </w:rPr>
            </w:pPr>
            <w:r>
              <w:rPr>
                <w:rFonts w:ascii="Gothambook" w:hAnsi="Gothambook"/>
                <w:sz w:val="32"/>
                <w:szCs w:val="32"/>
              </w:rPr>
              <w:t>En el gobierno y la economía, esto significa establecer normas y leyes para controlar y gestionar la actividad económica, proteger al público y proporcionar estabilidad financiera.</w:t>
            </w:r>
          </w:p>
        </w:tc>
      </w:tr>
      <w:tr w:rsidR="00EC0166" w:rsidRPr="00E71A3A" w14:paraId="4EC8416A" w14:textId="77777777" w:rsidTr="004D57C6">
        <w:trPr>
          <w:cantSplit/>
          <w:trHeight w:hRule="exact" w:val="2880"/>
          <w:tblCellSpacing w:w="93" w:type="dxa"/>
        </w:trPr>
        <w:tc>
          <w:tcPr>
            <w:tcW w:w="4675" w:type="dxa"/>
            <w:shd w:val="clear" w:color="auto" w:fill="D9D9D9" w:themeFill="background1" w:themeFillShade="D9"/>
            <w:vAlign w:val="center"/>
          </w:tcPr>
          <w:p w14:paraId="62228256" w14:textId="06C123F2" w:rsidR="00EC0166" w:rsidRPr="00EC0166" w:rsidRDefault="00EC0166" w:rsidP="004D57C6">
            <w:pPr>
              <w:jc w:val="center"/>
              <w:rPr>
                <w:rFonts w:ascii="Gothambook" w:hAnsi="Gothambook"/>
                <w:sz w:val="48"/>
                <w:szCs w:val="48"/>
              </w:rPr>
            </w:pPr>
            <w:r>
              <w:rPr>
                <w:rFonts w:ascii="Gothambook" w:hAnsi="Gothambook"/>
                <w:sz w:val="48"/>
                <w:szCs w:val="48"/>
              </w:rPr>
              <w:t>Expansión</w:t>
            </w:r>
          </w:p>
        </w:tc>
        <w:tc>
          <w:tcPr>
            <w:tcW w:w="4675" w:type="dxa"/>
            <w:vAlign w:val="center"/>
          </w:tcPr>
          <w:p w14:paraId="252AC681" w14:textId="77777777" w:rsidR="00EC0166" w:rsidRPr="005E4477" w:rsidRDefault="005E4477" w:rsidP="004D57C6">
            <w:pPr>
              <w:jc w:val="center"/>
              <w:rPr>
                <w:rFonts w:ascii="Gothambook" w:hAnsi="Gothambook"/>
                <w:sz w:val="28"/>
              </w:rPr>
            </w:pPr>
            <w:r w:rsidRPr="005E4477">
              <w:rPr>
                <w:rFonts w:ascii="Gothambook" w:hAnsi="Gothambook"/>
                <w:sz w:val="28"/>
              </w:rPr>
              <w:t>Para aumentar de tamaño.</w:t>
            </w:r>
          </w:p>
          <w:p w14:paraId="60EF1367" w14:textId="3B213A09" w:rsidR="005E4477" w:rsidRPr="005E4477" w:rsidRDefault="005E4477" w:rsidP="004D57C6">
            <w:pPr>
              <w:jc w:val="center"/>
              <w:rPr>
                <w:rFonts w:ascii="Gothambook" w:hAnsi="Gothambook"/>
                <w:sz w:val="28"/>
              </w:rPr>
            </w:pPr>
            <w:r w:rsidRPr="005E4477">
              <w:rPr>
                <w:rFonts w:ascii="Gothambook" w:hAnsi="Gothambook"/>
                <w:sz w:val="28"/>
              </w:rPr>
              <w:t>Durante la Gran Depresión, el gobierno de EE. UU. aumentó de tamaño bajo los programas del New Deal del presidente Roosevelt. Muchos apoyaron el New Deal mientras se preocupaban por el creciente poder del gobierno.</w:t>
            </w:r>
          </w:p>
        </w:tc>
      </w:tr>
      <w:tr w:rsidR="00EC0166" w:rsidRPr="00C02A54" w14:paraId="17737B7A" w14:textId="77777777" w:rsidTr="004D57C6">
        <w:trPr>
          <w:cantSplit/>
          <w:trHeight w:hRule="exact" w:val="2880"/>
          <w:tblCellSpacing w:w="93" w:type="dxa"/>
        </w:trPr>
        <w:tc>
          <w:tcPr>
            <w:tcW w:w="4675" w:type="dxa"/>
            <w:shd w:val="clear" w:color="auto" w:fill="D9D9D9" w:themeFill="background1" w:themeFillShade="D9"/>
            <w:vAlign w:val="center"/>
          </w:tcPr>
          <w:p w14:paraId="73826808" w14:textId="444706C1" w:rsidR="00EC0166" w:rsidRPr="00EC0166" w:rsidRDefault="00EC0166" w:rsidP="004D57C6">
            <w:pPr>
              <w:jc w:val="center"/>
              <w:rPr>
                <w:rFonts w:ascii="Gothambook" w:hAnsi="Gothambook"/>
                <w:sz w:val="48"/>
                <w:szCs w:val="48"/>
              </w:rPr>
            </w:pPr>
            <w:r>
              <w:rPr>
                <w:rFonts w:ascii="Gothambook" w:hAnsi="Gothambook"/>
                <w:sz w:val="48"/>
                <w:szCs w:val="48"/>
              </w:rPr>
              <w:t>Franklin D. Roosevelt</w:t>
            </w:r>
          </w:p>
        </w:tc>
        <w:tc>
          <w:tcPr>
            <w:tcW w:w="4675" w:type="dxa"/>
            <w:vAlign w:val="center"/>
          </w:tcPr>
          <w:p w14:paraId="6CDDE3A7" w14:textId="597B1171" w:rsidR="00EC0166" w:rsidRPr="00E71A3A" w:rsidRDefault="005E4477" w:rsidP="004D57C6">
            <w:pPr>
              <w:jc w:val="center"/>
              <w:rPr>
                <w:rFonts w:ascii="Gothambook" w:hAnsi="Gothambook"/>
                <w:sz w:val="32"/>
                <w:szCs w:val="32"/>
              </w:rPr>
            </w:pPr>
            <w:r>
              <w:rPr>
                <w:rFonts w:ascii="Gothambook" w:hAnsi="Gothambook"/>
                <w:sz w:val="32"/>
                <w:szCs w:val="32"/>
              </w:rPr>
              <w:t>El presidente de Estados Unidos que instauró el New Deal durante la Gran Depresión. Ejerció 4 mandatos como presidente desde 1933 hasta 1945.</w:t>
            </w:r>
          </w:p>
        </w:tc>
      </w:tr>
    </w:tbl>
    <w:p w14:paraId="4454A9E6" w14:textId="77777777" w:rsidR="00EC0166" w:rsidRDefault="00EC0166" w:rsidP="00EC0166"/>
    <w:tbl>
      <w:tblPr>
        <w:tblStyle w:val="TableGrid"/>
        <w:tblW w:w="0" w:type="auto"/>
        <w:tblCellSpacing w:w="93" w:type="dxa"/>
        <w:tblLook w:val="04A0" w:firstRow="1" w:lastRow="0" w:firstColumn="1" w:lastColumn="0" w:noHBand="0" w:noVBand="1"/>
      </w:tblPr>
      <w:tblGrid>
        <w:gridCol w:w="4730"/>
        <w:gridCol w:w="4620"/>
      </w:tblGrid>
      <w:tr w:rsidR="00EC0166" w:rsidRPr="00E71A3A" w14:paraId="7FD42F39" w14:textId="77777777" w:rsidTr="004D57C6">
        <w:trPr>
          <w:cantSplit/>
          <w:trHeight w:hRule="exact" w:val="2880"/>
          <w:tblCellSpacing w:w="93" w:type="dxa"/>
        </w:trPr>
        <w:tc>
          <w:tcPr>
            <w:tcW w:w="4675" w:type="dxa"/>
            <w:shd w:val="clear" w:color="auto" w:fill="D9D9D9" w:themeFill="background1" w:themeFillShade="D9"/>
            <w:vAlign w:val="center"/>
          </w:tcPr>
          <w:p w14:paraId="7F06A754" w14:textId="5BEDE8FA" w:rsidR="00EC0166" w:rsidRPr="00EC0166" w:rsidRDefault="005E4477" w:rsidP="004D57C6">
            <w:pPr>
              <w:jc w:val="center"/>
              <w:rPr>
                <w:rFonts w:ascii="Gothambook" w:hAnsi="Gothambook"/>
                <w:sz w:val="48"/>
                <w:szCs w:val="48"/>
              </w:rPr>
            </w:pPr>
            <w:r>
              <w:rPr>
                <w:rFonts w:ascii="Gothambook" w:hAnsi="Gothambook"/>
                <w:sz w:val="48"/>
                <w:szCs w:val="48"/>
              </w:rPr>
              <w:lastRenderedPageBreak/>
              <w:t>Rural</w:t>
            </w:r>
          </w:p>
        </w:tc>
        <w:tc>
          <w:tcPr>
            <w:tcW w:w="4675" w:type="dxa"/>
            <w:vAlign w:val="center"/>
          </w:tcPr>
          <w:p w14:paraId="3D4E4C5C" w14:textId="69D472A9" w:rsidR="00EC0166" w:rsidRPr="00E71A3A" w:rsidRDefault="005E4477" w:rsidP="004D57C6">
            <w:pPr>
              <w:jc w:val="center"/>
              <w:rPr>
                <w:rFonts w:ascii="Gothambook" w:hAnsi="Gothambook"/>
                <w:sz w:val="32"/>
                <w:szCs w:val="32"/>
              </w:rPr>
            </w:pPr>
            <w:r>
              <w:rPr>
                <w:rFonts w:ascii="Gothambook" w:hAnsi="Gothambook"/>
                <w:sz w:val="32"/>
                <w:szCs w:val="32"/>
              </w:rPr>
              <w:t>Relacionado con el campo, lejos de las grandes ciudades. En la década de 1930, aproximadamente el 60% de los texanos vivían en el campo, a menudo en pequeñas granjas. Para 1940, la cifra había disminuido al 54%.</w:t>
            </w:r>
          </w:p>
        </w:tc>
      </w:tr>
      <w:tr w:rsidR="00EC0166" w:rsidRPr="00E71A3A" w14:paraId="2D2CC485" w14:textId="77777777" w:rsidTr="004D57C6">
        <w:trPr>
          <w:cantSplit/>
          <w:trHeight w:hRule="exact" w:val="2880"/>
          <w:tblCellSpacing w:w="93" w:type="dxa"/>
        </w:trPr>
        <w:tc>
          <w:tcPr>
            <w:tcW w:w="4675" w:type="dxa"/>
            <w:shd w:val="clear" w:color="auto" w:fill="D9D9D9" w:themeFill="background1" w:themeFillShade="D9"/>
            <w:vAlign w:val="center"/>
          </w:tcPr>
          <w:p w14:paraId="0A249AB1" w14:textId="7DEDBF04" w:rsidR="00EC0166" w:rsidRPr="00EC0166" w:rsidRDefault="00EC0166" w:rsidP="004D57C6">
            <w:pPr>
              <w:jc w:val="center"/>
              <w:rPr>
                <w:rFonts w:ascii="Gothambook" w:hAnsi="Gothambook"/>
                <w:sz w:val="48"/>
                <w:szCs w:val="48"/>
              </w:rPr>
            </w:pPr>
            <w:r>
              <w:rPr>
                <w:rFonts w:ascii="Gothambook" w:hAnsi="Gothambook"/>
                <w:sz w:val="48"/>
                <w:szCs w:val="48"/>
              </w:rPr>
              <w:t>Administración de Electrificación Rural</w:t>
            </w:r>
          </w:p>
        </w:tc>
        <w:tc>
          <w:tcPr>
            <w:tcW w:w="4675" w:type="dxa"/>
            <w:vAlign w:val="center"/>
          </w:tcPr>
          <w:p w14:paraId="394F2AE1" w14:textId="4F7A6F47" w:rsidR="00EC0166" w:rsidRPr="00E71A3A" w:rsidRDefault="00911BFC" w:rsidP="004D57C6">
            <w:pPr>
              <w:jc w:val="center"/>
              <w:rPr>
                <w:rFonts w:ascii="Gothambook" w:hAnsi="Gothambook"/>
                <w:sz w:val="32"/>
                <w:szCs w:val="32"/>
              </w:rPr>
            </w:pPr>
            <w:r>
              <w:rPr>
                <w:rFonts w:ascii="Gothambook" w:hAnsi="Gothambook"/>
                <w:sz w:val="32"/>
                <w:szCs w:val="32"/>
              </w:rPr>
              <w:t>Este programa del New Deal ofreció una forma para que los agricultores del campo recibieran préstamos a bajo interés para poder pagar la instalación de líneas eléctricas por las compañías eléctricas en sus comunidades.</w:t>
            </w:r>
          </w:p>
        </w:tc>
      </w:tr>
      <w:tr w:rsidR="00EC0166" w:rsidRPr="00E71A3A" w14:paraId="796A04BB" w14:textId="77777777" w:rsidTr="004D57C6">
        <w:trPr>
          <w:cantSplit/>
          <w:trHeight w:hRule="exact" w:val="2880"/>
          <w:tblCellSpacing w:w="93" w:type="dxa"/>
        </w:trPr>
        <w:tc>
          <w:tcPr>
            <w:tcW w:w="4675" w:type="dxa"/>
            <w:shd w:val="clear" w:color="auto" w:fill="D9D9D9" w:themeFill="background1" w:themeFillShade="D9"/>
            <w:vAlign w:val="center"/>
          </w:tcPr>
          <w:p w14:paraId="297BE06F" w14:textId="606B511A" w:rsidR="00EC0166" w:rsidRPr="00EC0166" w:rsidRDefault="00EC0166" w:rsidP="004D57C6">
            <w:pPr>
              <w:jc w:val="center"/>
              <w:rPr>
                <w:rFonts w:ascii="Gothambook" w:hAnsi="Gothambook"/>
                <w:sz w:val="48"/>
                <w:szCs w:val="48"/>
              </w:rPr>
            </w:pPr>
            <w:r>
              <w:rPr>
                <w:rFonts w:ascii="Gothambook" w:hAnsi="Gothambook"/>
                <w:sz w:val="48"/>
                <w:szCs w:val="48"/>
              </w:rPr>
              <w:t>Cuerpo Civil de Conservación</w:t>
            </w:r>
          </w:p>
        </w:tc>
        <w:tc>
          <w:tcPr>
            <w:tcW w:w="4675" w:type="dxa"/>
            <w:vAlign w:val="center"/>
          </w:tcPr>
          <w:p w14:paraId="105DCC0F" w14:textId="1C3EC9B1" w:rsidR="00EC0166" w:rsidRPr="00E71A3A" w:rsidRDefault="00911BFC" w:rsidP="004D57C6">
            <w:pPr>
              <w:jc w:val="center"/>
              <w:rPr>
                <w:rFonts w:ascii="Gothambook" w:hAnsi="Gothambook"/>
                <w:sz w:val="32"/>
                <w:szCs w:val="32"/>
              </w:rPr>
            </w:pPr>
            <w:r>
              <w:rPr>
                <w:rFonts w:ascii="Gothambook" w:hAnsi="Gothambook"/>
                <w:sz w:val="32"/>
                <w:szCs w:val="32"/>
              </w:rPr>
              <w:t>Este programa del New Deal se centró en proyectos medioambientales como la reforestación, la replantación de gramíneas autóctonas en las Llanuras y la creación de parques estatales.</w:t>
            </w:r>
          </w:p>
        </w:tc>
      </w:tr>
      <w:tr w:rsidR="00EC0166" w:rsidRPr="00C02A54" w14:paraId="39BAD278" w14:textId="77777777" w:rsidTr="004D57C6">
        <w:trPr>
          <w:cantSplit/>
          <w:trHeight w:hRule="exact" w:val="2880"/>
          <w:tblCellSpacing w:w="93" w:type="dxa"/>
        </w:trPr>
        <w:tc>
          <w:tcPr>
            <w:tcW w:w="4675" w:type="dxa"/>
            <w:shd w:val="clear" w:color="auto" w:fill="D9D9D9" w:themeFill="background1" w:themeFillShade="D9"/>
            <w:vAlign w:val="center"/>
          </w:tcPr>
          <w:p w14:paraId="73447D5B" w14:textId="6961B11C" w:rsidR="00EC0166" w:rsidRPr="00EC0166" w:rsidRDefault="00EC0166" w:rsidP="004D57C6">
            <w:pPr>
              <w:jc w:val="center"/>
              <w:rPr>
                <w:rFonts w:ascii="Gothambook" w:hAnsi="Gothambook"/>
                <w:sz w:val="48"/>
                <w:szCs w:val="48"/>
              </w:rPr>
            </w:pPr>
            <w:r>
              <w:rPr>
                <w:rFonts w:ascii="Gothambook" w:hAnsi="Gothambook"/>
                <w:sz w:val="48"/>
                <w:szCs w:val="48"/>
              </w:rPr>
              <w:t>Comisión de Bolsa y Valores</w:t>
            </w:r>
          </w:p>
        </w:tc>
        <w:tc>
          <w:tcPr>
            <w:tcW w:w="4675" w:type="dxa"/>
            <w:vAlign w:val="center"/>
          </w:tcPr>
          <w:p w14:paraId="2589FCFA" w14:textId="71664D83" w:rsidR="00EC0166" w:rsidRPr="00E71A3A" w:rsidRDefault="00911BFC" w:rsidP="004D57C6">
            <w:pPr>
              <w:jc w:val="center"/>
              <w:rPr>
                <w:rFonts w:ascii="Gothambook" w:hAnsi="Gothambook"/>
                <w:sz w:val="32"/>
                <w:szCs w:val="32"/>
              </w:rPr>
            </w:pPr>
            <w:r>
              <w:rPr>
                <w:rFonts w:ascii="Gothambook" w:hAnsi="Gothambook"/>
                <w:sz w:val="32"/>
                <w:szCs w:val="32"/>
              </w:rPr>
              <w:t>Este programa del New Deal se estableció para proteger a los inversores, estabilizar los mercados financieros y prevenir futuras crisis financieras.</w:t>
            </w:r>
          </w:p>
        </w:tc>
      </w:tr>
    </w:tbl>
    <w:p w14:paraId="4F2922A7" w14:textId="67169ADA" w:rsidR="00EC0166" w:rsidRDefault="00EC0166" w:rsidP="00EC0166"/>
    <w:tbl>
      <w:tblPr>
        <w:tblStyle w:val="TableGrid"/>
        <w:tblW w:w="0" w:type="auto"/>
        <w:tblCellSpacing w:w="93" w:type="dxa"/>
        <w:tblLook w:val="04A0" w:firstRow="1" w:lastRow="0" w:firstColumn="1" w:lastColumn="0" w:noHBand="0" w:noVBand="1"/>
      </w:tblPr>
      <w:tblGrid>
        <w:gridCol w:w="4669"/>
        <w:gridCol w:w="4681"/>
      </w:tblGrid>
      <w:tr w:rsidR="00EC0166" w:rsidRPr="00E71A3A" w14:paraId="6F816246" w14:textId="77777777" w:rsidTr="004D57C6">
        <w:trPr>
          <w:cantSplit/>
          <w:trHeight w:hRule="exact" w:val="2880"/>
          <w:tblCellSpacing w:w="93" w:type="dxa"/>
        </w:trPr>
        <w:tc>
          <w:tcPr>
            <w:tcW w:w="4675" w:type="dxa"/>
            <w:shd w:val="clear" w:color="auto" w:fill="D9D9D9" w:themeFill="background1" w:themeFillShade="D9"/>
            <w:vAlign w:val="center"/>
          </w:tcPr>
          <w:p w14:paraId="58E2086D" w14:textId="162659A6" w:rsidR="00EC0166" w:rsidRPr="00EC0166" w:rsidRDefault="00EC0166" w:rsidP="004D57C6">
            <w:pPr>
              <w:jc w:val="center"/>
              <w:rPr>
                <w:rFonts w:ascii="Gothambook" w:hAnsi="Gothambook"/>
                <w:sz w:val="48"/>
                <w:szCs w:val="48"/>
              </w:rPr>
            </w:pPr>
            <w:r>
              <w:rPr>
                <w:rFonts w:ascii="Gothambook" w:hAnsi="Gothambook"/>
                <w:sz w:val="48"/>
                <w:szCs w:val="48"/>
              </w:rPr>
              <w:lastRenderedPageBreak/>
              <w:t>Sequía</w:t>
            </w:r>
          </w:p>
        </w:tc>
        <w:tc>
          <w:tcPr>
            <w:tcW w:w="4675" w:type="dxa"/>
            <w:vAlign w:val="center"/>
          </w:tcPr>
          <w:p w14:paraId="726A3508" w14:textId="4A361F16" w:rsidR="00EC0166" w:rsidRPr="00E71A3A" w:rsidRDefault="00911BFC" w:rsidP="004D57C6">
            <w:pPr>
              <w:jc w:val="center"/>
              <w:rPr>
                <w:rFonts w:ascii="Gothambook" w:hAnsi="Gothambook"/>
                <w:sz w:val="32"/>
                <w:szCs w:val="32"/>
              </w:rPr>
            </w:pPr>
            <w:r>
              <w:rPr>
                <w:rFonts w:ascii="Gothambook" w:hAnsi="Gothambook"/>
                <w:sz w:val="32"/>
                <w:szCs w:val="32"/>
              </w:rPr>
              <w:t xml:space="preserve">Un periodo prolongado de clima anormalmente seco. Las Grandes Llanuras experimentaron este clima seco, que provocaba que la capa superior del suelo expuesta se secara y se llevara con los fuertes vientos. </w:t>
            </w:r>
          </w:p>
        </w:tc>
      </w:tr>
      <w:tr w:rsidR="00EC0166" w:rsidRPr="00E71A3A" w14:paraId="06D519A7" w14:textId="77777777" w:rsidTr="004D57C6">
        <w:trPr>
          <w:cantSplit/>
          <w:trHeight w:hRule="exact" w:val="2880"/>
          <w:tblCellSpacing w:w="93" w:type="dxa"/>
        </w:trPr>
        <w:tc>
          <w:tcPr>
            <w:tcW w:w="4675" w:type="dxa"/>
            <w:shd w:val="clear" w:color="auto" w:fill="D9D9D9" w:themeFill="background1" w:themeFillShade="D9"/>
            <w:vAlign w:val="center"/>
          </w:tcPr>
          <w:p w14:paraId="51A406B3" w14:textId="437F4CA3" w:rsidR="00EC0166" w:rsidRPr="00EC0166" w:rsidRDefault="00EC0166" w:rsidP="004D57C6">
            <w:pPr>
              <w:jc w:val="center"/>
              <w:rPr>
                <w:rFonts w:ascii="Gothambook" w:hAnsi="Gothambook"/>
                <w:sz w:val="48"/>
                <w:szCs w:val="48"/>
              </w:rPr>
            </w:pPr>
            <w:r>
              <w:rPr>
                <w:rFonts w:ascii="Gothambook" w:hAnsi="Gothambook"/>
                <w:sz w:val="48"/>
                <w:szCs w:val="48"/>
              </w:rPr>
              <w:t>Causas de la Gran Depresión</w:t>
            </w:r>
          </w:p>
        </w:tc>
        <w:tc>
          <w:tcPr>
            <w:tcW w:w="4675" w:type="dxa"/>
            <w:vAlign w:val="center"/>
          </w:tcPr>
          <w:p w14:paraId="1CA1D0D4" w14:textId="17339BF7" w:rsidR="00EC0166" w:rsidRPr="00E71A3A" w:rsidRDefault="00911BFC" w:rsidP="004D57C6">
            <w:pPr>
              <w:jc w:val="center"/>
              <w:rPr>
                <w:rFonts w:ascii="Gothambook" w:hAnsi="Gothambook"/>
                <w:sz w:val="32"/>
                <w:szCs w:val="32"/>
              </w:rPr>
            </w:pPr>
            <w:r>
              <w:rPr>
                <w:rFonts w:ascii="Gothambook" w:hAnsi="Gothambook"/>
                <w:sz w:val="32"/>
                <w:szCs w:val="32"/>
              </w:rPr>
              <w:t xml:space="preserve">Estas incluyeron la compra de acciones con margen, la venta de acciones en pánico, el desplome bursátil de 1929 y las posteriores corridas bancarias. </w:t>
            </w:r>
          </w:p>
        </w:tc>
      </w:tr>
      <w:tr w:rsidR="00EC0166" w:rsidRPr="00E71A3A" w14:paraId="4216947F" w14:textId="77777777" w:rsidTr="004D57C6">
        <w:trPr>
          <w:cantSplit/>
          <w:trHeight w:hRule="exact" w:val="2880"/>
          <w:tblCellSpacing w:w="93" w:type="dxa"/>
        </w:trPr>
        <w:tc>
          <w:tcPr>
            <w:tcW w:w="4675" w:type="dxa"/>
            <w:shd w:val="clear" w:color="auto" w:fill="D9D9D9" w:themeFill="background1" w:themeFillShade="D9"/>
            <w:vAlign w:val="center"/>
          </w:tcPr>
          <w:p w14:paraId="3845DDD5" w14:textId="23EE34FD" w:rsidR="00EC0166" w:rsidRPr="00EC0166" w:rsidRDefault="00EC0166" w:rsidP="004D57C6">
            <w:pPr>
              <w:jc w:val="center"/>
              <w:rPr>
                <w:rFonts w:ascii="Gothambook" w:hAnsi="Gothambook"/>
                <w:sz w:val="48"/>
                <w:szCs w:val="48"/>
              </w:rPr>
            </w:pPr>
            <w:r>
              <w:rPr>
                <w:rFonts w:ascii="Gothambook" w:hAnsi="Gothambook"/>
                <w:sz w:val="48"/>
                <w:szCs w:val="48"/>
              </w:rPr>
              <w:t>Efectos de la Gran Depresión</w:t>
            </w:r>
          </w:p>
        </w:tc>
        <w:tc>
          <w:tcPr>
            <w:tcW w:w="4675" w:type="dxa"/>
            <w:vAlign w:val="center"/>
          </w:tcPr>
          <w:p w14:paraId="6B5BF6C3" w14:textId="7326ADD5" w:rsidR="00EC0166" w:rsidRPr="00E71A3A" w:rsidRDefault="00911BFC" w:rsidP="004D57C6">
            <w:pPr>
              <w:jc w:val="center"/>
              <w:rPr>
                <w:rFonts w:ascii="Gothambook" w:hAnsi="Gothambook"/>
                <w:sz w:val="32"/>
                <w:szCs w:val="32"/>
              </w:rPr>
            </w:pPr>
            <w:r>
              <w:rPr>
                <w:rFonts w:ascii="Gothambook" w:hAnsi="Gothambook"/>
                <w:sz w:val="32"/>
                <w:szCs w:val="32"/>
              </w:rPr>
              <w:t>Estos incluían un aumento del desempleo, la quiebra de bancos y empresas, la creciente pobreza y las extremas dificultades financieras.</w:t>
            </w:r>
          </w:p>
        </w:tc>
      </w:tr>
      <w:tr w:rsidR="00EC0166" w:rsidRPr="00C02A54" w14:paraId="46D389D0" w14:textId="77777777" w:rsidTr="004D57C6">
        <w:trPr>
          <w:cantSplit/>
          <w:trHeight w:hRule="exact" w:val="2880"/>
          <w:tblCellSpacing w:w="93" w:type="dxa"/>
        </w:trPr>
        <w:tc>
          <w:tcPr>
            <w:tcW w:w="4675" w:type="dxa"/>
            <w:shd w:val="clear" w:color="auto" w:fill="D9D9D9" w:themeFill="background1" w:themeFillShade="D9"/>
            <w:vAlign w:val="center"/>
          </w:tcPr>
          <w:p w14:paraId="774B9723" w14:textId="006A331F" w:rsidR="00EC0166" w:rsidRPr="00EC0166" w:rsidRDefault="00EC0166" w:rsidP="004D57C6">
            <w:pPr>
              <w:jc w:val="center"/>
              <w:rPr>
                <w:rFonts w:ascii="Gothambook" w:hAnsi="Gothambook"/>
                <w:sz w:val="48"/>
                <w:szCs w:val="48"/>
              </w:rPr>
            </w:pPr>
            <w:r>
              <w:rPr>
                <w:rFonts w:ascii="Gothambook" w:hAnsi="Gothambook"/>
                <w:sz w:val="48"/>
                <w:szCs w:val="48"/>
              </w:rPr>
              <w:t>Causas del Dust Bowl</w:t>
            </w:r>
          </w:p>
        </w:tc>
        <w:tc>
          <w:tcPr>
            <w:tcW w:w="4675" w:type="dxa"/>
            <w:vAlign w:val="center"/>
          </w:tcPr>
          <w:p w14:paraId="29F2131A" w14:textId="3B77D5DC" w:rsidR="00EC0166" w:rsidRPr="00E71A3A" w:rsidRDefault="00911BFC" w:rsidP="004D57C6">
            <w:pPr>
              <w:jc w:val="center"/>
              <w:rPr>
                <w:rFonts w:ascii="Gothambook" w:hAnsi="Gothambook"/>
                <w:sz w:val="32"/>
                <w:szCs w:val="32"/>
              </w:rPr>
            </w:pPr>
            <w:r>
              <w:rPr>
                <w:rFonts w:ascii="Gothambook" w:hAnsi="Gothambook"/>
                <w:sz w:val="32"/>
                <w:szCs w:val="32"/>
              </w:rPr>
              <w:t>Estos incluyeron décadas de prácticas agrícolas dañinas y sobrepastoreo de ganado que agotaron las hierbas nativas de las Llanuras, y un prolongado periodo de sequía que secó la capa superficial del suelo suelto.</w:t>
            </w:r>
          </w:p>
        </w:tc>
      </w:tr>
    </w:tbl>
    <w:p w14:paraId="125260CB" w14:textId="77777777" w:rsidR="00EC0166" w:rsidRDefault="00EC0166"/>
    <w:tbl>
      <w:tblPr>
        <w:tblStyle w:val="TableGrid"/>
        <w:tblW w:w="0" w:type="auto"/>
        <w:tblCellSpacing w:w="93" w:type="dxa"/>
        <w:tblLook w:val="04A0" w:firstRow="1" w:lastRow="0" w:firstColumn="1" w:lastColumn="0" w:noHBand="0" w:noVBand="1"/>
      </w:tblPr>
      <w:tblGrid>
        <w:gridCol w:w="4689"/>
        <w:gridCol w:w="4661"/>
      </w:tblGrid>
      <w:tr w:rsidR="00EC0166" w:rsidRPr="00E71A3A" w14:paraId="46B9A645" w14:textId="77777777" w:rsidTr="004D57C6">
        <w:trPr>
          <w:cantSplit/>
          <w:trHeight w:hRule="exact" w:val="2880"/>
          <w:tblCellSpacing w:w="93" w:type="dxa"/>
        </w:trPr>
        <w:tc>
          <w:tcPr>
            <w:tcW w:w="4675" w:type="dxa"/>
            <w:shd w:val="clear" w:color="auto" w:fill="D9D9D9" w:themeFill="background1" w:themeFillShade="D9"/>
            <w:vAlign w:val="center"/>
          </w:tcPr>
          <w:p w14:paraId="27C9223C" w14:textId="75AEA1F6" w:rsidR="00EC0166" w:rsidRPr="00EC0166" w:rsidRDefault="00EC0166" w:rsidP="004D57C6">
            <w:pPr>
              <w:jc w:val="center"/>
              <w:rPr>
                <w:rFonts w:ascii="Gothambook" w:hAnsi="Gothambook"/>
                <w:sz w:val="48"/>
                <w:szCs w:val="48"/>
              </w:rPr>
            </w:pPr>
            <w:r>
              <w:rPr>
                <w:rFonts w:ascii="Gothambook" w:hAnsi="Gothambook"/>
                <w:sz w:val="48"/>
                <w:szCs w:val="48"/>
              </w:rPr>
              <w:lastRenderedPageBreak/>
              <w:t>Efectos del Dust Bowl</w:t>
            </w:r>
          </w:p>
        </w:tc>
        <w:tc>
          <w:tcPr>
            <w:tcW w:w="4675" w:type="dxa"/>
            <w:vAlign w:val="center"/>
          </w:tcPr>
          <w:p w14:paraId="6A332259" w14:textId="07CDC0FB" w:rsidR="00EC0166" w:rsidRPr="00E71A3A" w:rsidRDefault="00911BFC" w:rsidP="004D57C6">
            <w:pPr>
              <w:jc w:val="center"/>
              <w:rPr>
                <w:rFonts w:ascii="Gothambook" w:hAnsi="Gothambook"/>
                <w:sz w:val="32"/>
                <w:szCs w:val="32"/>
              </w:rPr>
            </w:pPr>
            <w:r>
              <w:rPr>
                <w:rFonts w:ascii="Gothambook" w:hAnsi="Gothambook"/>
                <w:sz w:val="32"/>
                <w:szCs w:val="32"/>
              </w:rPr>
              <w:t xml:space="preserve">Estos incluían problemas respiratorios, fallos agrícolas y millones de personas huyendo de la región de las Grandes Llanuras, incluyendo miles en el Panhandle de Texas. </w:t>
            </w:r>
          </w:p>
        </w:tc>
      </w:tr>
      <w:tr w:rsidR="00EC0166" w:rsidRPr="00E71A3A" w14:paraId="72CCCA7F" w14:textId="77777777" w:rsidTr="004D57C6">
        <w:trPr>
          <w:cantSplit/>
          <w:trHeight w:hRule="exact" w:val="2880"/>
          <w:tblCellSpacing w:w="93" w:type="dxa"/>
        </w:trPr>
        <w:tc>
          <w:tcPr>
            <w:tcW w:w="4675" w:type="dxa"/>
            <w:shd w:val="clear" w:color="auto" w:fill="D9D9D9" w:themeFill="background1" w:themeFillShade="D9"/>
            <w:vAlign w:val="center"/>
          </w:tcPr>
          <w:p w14:paraId="5B2C7B28" w14:textId="705E8D5C" w:rsidR="00EC0166" w:rsidRPr="00EC0166" w:rsidRDefault="00EC0166" w:rsidP="004D57C6">
            <w:pPr>
              <w:jc w:val="center"/>
              <w:rPr>
                <w:rFonts w:ascii="Gothambook" w:hAnsi="Gothambook"/>
                <w:sz w:val="48"/>
                <w:szCs w:val="48"/>
              </w:rPr>
            </w:pPr>
            <w:r>
              <w:rPr>
                <w:rFonts w:ascii="Gothambook" w:hAnsi="Gothambook"/>
                <w:sz w:val="48"/>
                <w:szCs w:val="48"/>
              </w:rPr>
              <w:t xml:space="preserve">J. Frank Dobie </w:t>
            </w:r>
          </w:p>
        </w:tc>
        <w:tc>
          <w:tcPr>
            <w:tcW w:w="4675" w:type="dxa"/>
            <w:vAlign w:val="center"/>
          </w:tcPr>
          <w:p w14:paraId="547DA26B" w14:textId="150A8BD4" w:rsidR="00EC0166" w:rsidRPr="00E71A3A" w:rsidRDefault="00605705" w:rsidP="004D57C6">
            <w:pPr>
              <w:jc w:val="center"/>
              <w:rPr>
                <w:rFonts w:ascii="Gothambook" w:hAnsi="Gothambook"/>
                <w:sz w:val="32"/>
                <w:szCs w:val="32"/>
              </w:rPr>
            </w:pPr>
            <w:r>
              <w:rPr>
                <w:rFonts w:ascii="Gothambook" w:hAnsi="Gothambook"/>
                <w:sz w:val="32"/>
                <w:szCs w:val="32"/>
              </w:rPr>
              <w:t>Fue un famoso autor texano cuyos escritos se centraban en las tradiciones, la cultura, el folclore y las experiencias de la gente del suroeste de Estados Unidos.</w:t>
            </w:r>
          </w:p>
        </w:tc>
      </w:tr>
      <w:tr w:rsidR="00EC0166" w:rsidRPr="00E71A3A" w14:paraId="787C8034" w14:textId="77777777" w:rsidTr="004D57C6">
        <w:trPr>
          <w:cantSplit/>
          <w:trHeight w:hRule="exact" w:val="2880"/>
          <w:tblCellSpacing w:w="93" w:type="dxa"/>
        </w:trPr>
        <w:tc>
          <w:tcPr>
            <w:tcW w:w="4675" w:type="dxa"/>
            <w:shd w:val="clear" w:color="auto" w:fill="D9D9D9" w:themeFill="background1" w:themeFillShade="D9"/>
            <w:vAlign w:val="center"/>
          </w:tcPr>
          <w:p w14:paraId="35814BFE" w14:textId="591194CA" w:rsidR="00EC0166" w:rsidRPr="00EC0166" w:rsidRDefault="00EC0166" w:rsidP="004D57C6">
            <w:pPr>
              <w:jc w:val="center"/>
              <w:rPr>
                <w:rFonts w:ascii="Gothambook" w:hAnsi="Gothambook"/>
                <w:sz w:val="48"/>
                <w:szCs w:val="48"/>
              </w:rPr>
            </w:pPr>
            <w:r>
              <w:rPr>
                <w:rFonts w:ascii="Gothambook" w:hAnsi="Gothambook"/>
                <w:sz w:val="48"/>
                <w:szCs w:val="48"/>
              </w:rPr>
              <w:t>Comisión Ferroviaria de Texas</w:t>
            </w:r>
          </w:p>
        </w:tc>
        <w:tc>
          <w:tcPr>
            <w:tcW w:w="4675" w:type="dxa"/>
            <w:vAlign w:val="center"/>
          </w:tcPr>
          <w:p w14:paraId="3C4D31CE" w14:textId="4066E90C" w:rsidR="00EC0166" w:rsidRPr="00605705" w:rsidRDefault="00605705" w:rsidP="004D57C6">
            <w:pPr>
              <w:jc w:val="center"/>
              <w:rPr>
                <w:rFonts w:ascii="Gothambook" w:hAnsi="Gothambook"/>
                <w:sz w:val="30"/>
                <w:szCs w:val="28"/>
              </w:rPr>
            </w:pPr>
            <w:r w:rsidRPr="00605705">
              <w:rPr>
                <w:rFonts w:ascii="Gothambook" w:hAnsi="Gothambook"/>
                <w:sz w:val="30"/>
                <w:szCs w:val="28"/>
              </w:rPr>
              <w:t xml:space="preserve">La agencia estatal, cuya responsabilidad es regular los mercados petroleros en Texas. Durante la Gran Depresión, esta agencia intentó abordar los problemas de auge y caída relacionados con los yacimientos petrolíferos del este de Texas. </w:t>
            </w:r>
          </w:p>
        </w:tc>
      </w:tr>
      <w:tr w:rsidR="00EC0166" w:rsidRPr="00C02A54" w14:paraId="51E2010C" w14:textId="77777777" w:rsidTr="004D57C6">
        <w:trPr>
          <w:cantSplit/>
          <w:trHeight w:hRule="exact" w:val="2880"/>
          <w:tblCellSpacing w:w="93" w:type="dxa"/>
        </w:trPr>
        <w:tc>
          <w:tcPr>
            <w:tcW w:w="4675" w:type="dxa"/>
            <w:shd w:val="clear" w:color="auto" w:fill="D9D9D9" w:themeFill="background1" w:themeFillShade="D9"/>
            <w:vAlign w:val="center"/>
          </w:tcPr>
          <w:p w14:paraId="27DF8FAF" w14:textId="77777777" w:rsidR="00EC0166" w:rsidRDefault="00EC0166" w:rsidP="004D57C6">
            <w:pPr>
              <w:jc w:val="center"/>
              <w:rPr>
                <w:rFonts w:ascii="Gothambook" w:hAnsi="Gothambook"/>
                <w:sz w:val="48"/>
                <w:szCs w:val="48"/>
              </w:rPr>
            </w:pPr>
            <w:r>
              <w:rPr>
                <w:rFonts w:ascii="Gothambook" w:hAnsi="Gothambook"/>
                <w:sz w:val="48"/>
                <w:szCs w:val="48"/>
              </w:rPr>
              <w:t xml:space="preserve">Este de Texas </w:t>
            </w:r>
          </w:p>
          <w:p w14:paraId="5B4F38F5" w14:textId="5ECE354C" w:rsidR="00EC0166" w:rsidRPr="00EC0166" w:rsidRDefault="00EC0166" w:rsidP="004D57C6">
            <w:pPr>
              <w:jc w:val="center"/>
              <w:rPr>
                <w:rFonts w:ascii="Gothambook" w:hAnsi="Gothambook"/>
                <w:sz w:val="48"/>
                <w:szCs w:val="48"/>
              </w:rPr>
            </w:pPr>
            <w:r>
              <w:rPr>
                <w:rFonts w:ascii="Gothambook" w:hAnsi="Gothambook"/>
                <w:sz w:val="48"/>
                <w:szCs w:val="48"/>
              </w:rPr>
              <w:t>Guerras del petróleo</w:t>
            </w:r>
          </w:p>
        </w:tc>
        <w:tc>
          <w:tcPr>
            <w:tcW w:w="4675" w:type="dxa"/>
            <w:vAlign w:val="center"/>
          </w:tcPr>
          <w:p w14:paraId="094908C4" w14:textId="7B3B7787" w:rsidR="00EC0166" w:rsidRPr="00605705" w:rsidRDefault="00605705" w:rsidP="004D57C6">
            <w:pPr>
              <w:jc w:val="center"/>
              <w:rPr>
                <w:rFonts w:ascii="Gothambook" w:hAnsi="Gothambook"/>
                <w:sz w:val="26"/>
                <w:szCs w:val="22"/>
              </w:rPr>
            </w:pPr>
            <w:r w:rsidRPr="00605705">
              <w:rPr>
                <w:rFonts w:ascii="Gothambook" w:hAnsi="Gothambook"/>
                <w:sz w:val="26"/>
                <w:szCs w:val="22"/>
              </w:rPr>
              <w:t>Los pozos petrolíferos en lugares como Kilgore y Longview sobreproducían petróleo, inundando el mercado y provocando una caída de valor. El gobierno de Texas intentó abordar y regular la producción de petróleo en la región, lo que provocó conflictos entre los perforadores y el estado.</w:t>
            </w:r>
          </w:p>
        </w:tc>
      </w:tr>
    </w:tbl>
    <w:p w14:paraId="592FB23C" w14:textId="2440F6C6" w:rsidR="00EC0166" w:rsidRDefault="00EC0166"/>
    <w:sectPr w:rsidR="00EC0166" w:rsidSect="00C02A54">
      <w:headerReference w:type="default" r:id="rId9"/>
      <w:footerReference w:type="default" r:id="rId10"/>
      <w:pgSz w:w="12240" w:h="15840"/>
      <w:pgMar w:top="201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E5AF9" w14:textId="77777777" w:rsidR="00180CDC" w:rsidRDefault="00180CDC" w:rsidP="00C02A54">
      <w:pPr>
        <w:spacing w:after="0" w:line="240" w:lineRule="auto"/>
      </w:pPr>
      <w:r>
        <w:separator/>
      </w:r>
    </w:p>
  </w:endnote>
  <w:endnote w:type="continuationSeparator" w:id="0">
    <w:p w14:paraId="482B6CDD" w14:textId="77777777" w:rsidR="00180CDC" w:rsidRDefault="00180CDC" w:rsidP="00C02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book">
    <w:altName w:val="Cambria"/>
    <w:panose1 w:val="00000000000000000000"/>
    <w:charset w:val="00"/>
    <w:family w:val="roman"/>
    <w:notTrueType/>
    <w:pitch w:val="default"/>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800691"/>
      <w:docPartObj>
        <w:docPartGallery w:val="Page Numbers (Bottom of Page)"/>
        <w:docPartUnique/>
      </w:docPartObj>
    </w:sdtPr>
    <w:sdtEndPr>
      <w:rPr>
        <w:noProof/>
      </w:rPr>
    </w:sdtEndPr>
    <w:sdtContent>
      <w:p w14:paraId="5FEDE573" w14:textId="0B830919" w:rsidR="00C02A54" w:rsidRDefault="000F22D0">
        <w:pPr>
          <w:pStyle w:val="Footer"/>
          <w:jc w:val="center"/>
        </w:pPr>
        <w:r>
          <w:rPr>
            <w:noProof/>
            <w:sz w:val="18"/>
            <w:szCs w:val="18"/>
          </w:rPr>
          <w:drawing>
            <wp:anchor distT="0" distB="0" distL="114300" distR="114300" simplePos="0" relativeHeight="251659264" behindDoc="1" locked="0" layoutInCell="1" allowOverlap="1" wp14:anchorId="6789B707" wp14:editId="3D7CD484">
              <wp:simplePos x="0" y="0"/>
              <wp:positionH relativeFrom="margin">
                <wp:align>right</wp:align>
              </wp:positionH>
              <wp:positionV relativeFrom="paragraph">
                <wp:posOffset>-91512</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rsidR="00C02A54">
          <w:fldChar w:fldCharType="begin"/>
        </w:r>
        <w:r w:rsidR="00C02A54">
          <w:instrText xml:space="preserve"> PAGE   \* MERGEFORMAT </w:instrText>
        </w:r>
        <w:r w:rsidR="00C02A54">
          <w:fldChar w:fldCharType="separate"/>
        </w:r>
        <w:r w:rsidR="00C02A54">
          <w:rPr>
            <w:noProof/>
          </w:rPr>
          <w:t>2</w:t>
        </w:r>
        <w:r w:rsidR="00C02A54">
          <w:rPr>
            <w:noProof/>
          </w:rPr>
          <w:fldChar w:fldCharType="end"/>
        </w:r>
      </w:p>
    </w:sdtContent>
  </w:sdt>
  <w:p w14:paraId="1A4BF098" w14:textId="55612987" w:rsidR="00C02A54" w:rsidRDefault="00C02A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9925C" w14:textId="77777777" w:rsidR="00180CDC" w:rsidRDefault="00180CDC" w:rsidP="00C02A54">
      <w:pPr>
        <w:spacing w:after="0" w:line="240" w:lineRule="auto"/>
      </w:pPr>
      <w:r>
        <w:separator/>
      </w:r>
    </w:p>
  </w:footnote>
  <w:footnote w:type="continuationSeparator" w:id="0">
    <w:p w14:paraId="3AC4E3C2" w14:textId="77777777" w:rsidR="00180CDC" w:rsidRDefault="00180CDC" w:rsidP="00C02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49769" w14:textId="54EE2053" w:rsidR="00C02A54" w:rsidRPr="000F22D0" w:rsidRDefault="000F22D0">
    <w:pPr>
      <w:pStyle w:val="Header"/>
    </w:pPr>
    <w:r w:rsidRPr="008D7B34">
      <w:rPr>
        <w:rFonts w:ascii="Gotham Book" w:hAnsi="Gotham Book"/>
        <w:noProof/>
      </w:rPr>
      <w:drawing>
        <wp:anchor distT="0" distB="0" distL="114300" distR="114300" simplePos="0" relativeHeight="251660288" behindDoc="1" locked="0" layoutInCell="1" allowOverlap="1" wp14:anchorId="4B9EA829" wp14:editId="7C12AFA8">
          <wp:simplePos x="0" y="0"/>
          <wp:positionH relativeFrom="column">
            <wp:posOffset>0</wp:posOffset>
          </wp:positionH>
          <wp:positionV relativeFrom="paragraph">
            <wp:posOffset>-133350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C49"/>
    <w:rsid w:val="000712DA"/>
    <w:rsid w:val="000F22D0"/>
    <w:rsid w:val="00180CDC"/>
    <w:rsid w:val="001A32D9"/>
    <w:rsid w:val="001B4B2F"/>
    <w:rsid w:val="002217E5"/>
    <w:rsid w:val="003A205D"/>
    <w:rsid w:val="003E7076"/>
    <w:rsid w:val="00437182"/>
    <w:rsid w:val="00477262"/>
    <w:rsid w:val="005E4477"/>
    <w:rsid w:val="006032A5"/>
    <w:rsid w:val="00605705"/>
    <w:rsid w:val="0065438C"/>
    <w:rsid w:val="006B5780"/>
    <w:rsid w:val="007C7111"/>
    <w:rsid w:val="007E5AE1"/>
    <w:rsid w:val="00841235"/>
    <w:rsid w:val="00860C8A"/>
    <w:rsid w:val="00911BFC"/>
    <w:rsid w:val="00931C49"/>
    <w:rsid w:val="00963012"/>
    <w:rsid w:val="009951FC"/>
    <w:rsid w:val="009F7AC1"/>
    <w:rsid w:val="00A13E59"/>
    <w:rsid w:val="00A40A39"/>
    <w:rsid w:val="00BA4DD9"/>
    <w:rsid w:val="00BD507D"/>
    <w:rsid w:val="00C02A54"/>
    <w:rsid w:val="00C728BC"/>
    <w:rsid w:val="00EC0166"/>
    <w:rsid w:val="00F02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C2B1A"/>
  <w15:chartTrackingRefBased/>
  <w15:docId w15:val="{4B25A49B-9127-4BE2-A183-65E4E5850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2D9"/>
  </w:style>
  <w:style w:type="paragraph" w:styleId="Heading1">
    <w:name w:val="heading 1"/>
    <w:basedOn w:val="Normal"/>
    <w:next w:val="Normal"/>
    <w:link w:val="Heading1Char"/>
    <w:uiPriority w:val="9"/>
    <w:qFormat/>
    <w:rsid w:val="00931C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1C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1C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1C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C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C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C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C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C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C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1C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1C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1C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C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C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C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C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C49"/>
    <w:rPr>
      <w:rFonts w:eastAsiaTheme="majorEastAsia" w:cstheme="majorBidi"/>
      <w:color w:val="272727" w:themeColor="text1" w:themeTint="D8"/>
    </w:rPr>
  </w:style>
  <w:style w:type="paragraph" w:styleId="Title">
    <w:name w:val="Title"/>
    <w:basedOn w:val="Normal"/>
    <w:next w:val="Normal"/>
    <w:link w:val="TitleChar"/>
    <w:uiPriority w:val="10"/>
    <w:qFormat/>
    <w:rsid w:val="00931C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C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C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C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C49"/>
    <w:pPr>
      <w:spacing w:before="160"/>
      <w:jc w:val="center"/>
    </w:pPr>
    <w:rPr>
      <w:i/>
      <w:iCs/>
      <w:color w:val="404040" w:themeColor="text1" w:themeTint="BF"/>
    </w:rPr>
  </w:style>
  <w:style w:type="character" w:customStyle="1" w:styleId="QuoteChar">
    <w:name w:val="Quote Char"/>
    <w:basedOn w:val="DefaultParagraphFont"/>
    <w:link w:val="Quote"/>
    <w:uiPriority w:val="29"/>
    <w:rsid w:val="00931C49"/>
    <w:rPr>
      <w:i/>
      <w:iCs/>
      <w:color w:val="404040" w:themeColor="text1" w:themeTint="BF"/>
    </w:rPr>
  </w:style>
  <w:style w:type="paragraph" w:styleId="ListParagraph">
    <w:name w:val="List Paragraph"/>
    <w:basedOn w:val="Normal"/>
    <w:uiPriority w:val="34"/>
    <w:qFormat/>
    <w:rsid w:val="00931C49"/>
    <w:pPr>
      <w:ind w:left="720"/>
      <w:contextualSpacing/>
    </w:pPr>
  </w:style>
  <w:style w:type="character" w:styleId="IntenseEmphasis">
    <w:name w:val="Intense Emphasis"/>
    <w:basedOn w:val="DefaultParagraphFont"/>
    <w:uiPriority w:val="21"/>
    <w:qFormat/>
    <w:rsid w:val="00931C49"/>
    <w:rPr>
      <w:i/>
      <w:iCs/>
      <w:color w:val="0F4761" w:themeColor="accent1" w:themeShade="BF"/>
    </w:rPr>
  </w:style>
  <w:style w:type="paragraph" w:styleId="IntenseQuote">
    <w:name w:val="Intense Quote"/>
    <w:basedOn w:val="Normal"/>
    <w:next w:val="Normal"/>
    <w:link w:val="IntenseQuoteChar"/>
    <w:uiPriority w:val="30"/>
    <w:qFormat/>
    <w:rsid w:val="00931C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C49"/>
    <w:rPr>
      <w:i/>
      <w:iCs/>
      <w:color w:val="0F4761" w:themeColor="accent1" w:themeShade="BF"/>
    </w:rPr>
  </w:style>
  <w:style w:type="character" w:styleId="IntenseReference">
    <w:name w:val="Intense Reference"/>
    <w:basedOn w:val="DefaultParagraphFont"/>
    <w:uiPriority w:val="32"/>
    <w:qFormat/>
    <w:rsid w:val="00931C49"/>
    <w:rPr>
      <w:b/>
      <w:bCs/>
      <w:smallCaps/>
      <w:color w:val="0F4761" w:themeColor="accent1" w:themeShade="BF"/>
      <w:spacing w:val="5"/>
    </w:rPr>
  </w:style>
  <w:style w:type="table" w:styleId="TableGrid">
    <w:name w:val="Table Grid"/>
    <w:basedOn w:val="TableNormal"/>
    <w:uiPriority w:val="39"/>
    <w:rsid w:val="001A3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2A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A54"/>
  </w:style>
  <w:style w:type="paragraph" w:styleId="Footer">
    <w:name w:val="footer"/>
    <w:basedOn w:val="Normal"/>
    <w:link w:val="FooterChar"/>
    <w:uiPriority w:val="99"/>
    <w:unhideWhenUsed/>
    <w:rsid w:val="00C02A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A54"/>
  </w:style>
  <w:style w:type="character" w:styleId="Strong">
    <w:name w:val="Strong"/>
    <w:basedOn w:val="DefaultParagraphFont"/>
    <w:uiPriority w:val="22"/>
    <w:qFormat/>
    <w:rsid w:val="00C02A54"/>
    <w:rPr>
      <w:b/>
      <w:bCs/>
    </w:rPr>
  </w:style>
  <w:style w:type="character" w:styleId="PlaceholderText">
    <w:name w:val="Placeholder Text"/>
    <w:basedOn w:val="DefaultParagraphFont"/>
    <w:uiPriority w:val="99"/>
    <w:semiHidden/>
    <w:rsid w:val="00BA4DD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5267AD-407B-4053-9EC5-69882B963F31}">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86706A5F-BB22-440A-B70A-45001FB296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5C4898-E51A-4EC0-877A-C0F021377B4B}">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47</TotalTime>
  <Pages>7</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Abubakar, Courtney</dc:creator>
  <cp:keywords/>
  <dc:description/>
  <cp:lastModifiedBy>Wilkinson, Ulises</cp:lastModifiedBy>
  <cp:revision>1</cp:revision>
  <dcterms:created xsi:type="dcterms:W3CDTF">2024-11-12T16:01:00Z</dcterms:created>
  <dcterms:modified xsi:type="dcterms:W3CDTF">2026-08-07T21:28:00Z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