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69ED" w14:textId="57779674" w:rsidR="004A624E" w:rsidRPr="0032694C" w:rsidRDefault="004A624E" w:rsidP="004A624E">
      <w:pPr>
        <w:spacing w:after="0" w:line="240" w:lineRule="auto"/>
        <w:jc w:val="center"/>
        <w:rPr>
          <w:rFonts w:ascii="Gotham Book" w:hAnsi="Gotham Book"/>
          <w:color w:val="747474" w:themeColor="background2" w:themeShade="80"/>
          <w:sz w:val="46"/>
          <w:szCs w:val="44"/>
        </w:rPr>
      </w:pPr>
      <w:bookmarkStart w:id="0" w:name="_Hlk171670584"/>
      <w:r w:rsidRPr="0032694C">
        <w:rPr>
          <w:rFonts w:ascii="Gotham Book" w:hAnsi="Gotham Book"/>
          <w:color w:val="747474" w:themeColor="background2" w:themeShade="80"/>
          <w:sz w:val="46"/>
          <w:szCs w:val="44"/>
        </w:rPr>
        <w:t>Unit 4: The Mexican National Era</w:t>
      </w:r>
    </w:p>
    <w:p w14:paraId="1AB16E30" w14:textId="3E92A8CF" w:rsidR="004A624E" w:rsidRPr="0032694C" w:rsidRDefault="004A624E" w:rsidP="004A624E">
      <w:pPr>
        <w:spacing w:after="0" w:line="240" w:lineRule="auto"/>
        <w:jc w:val="center"/>
        <w:rPr>
          <w:rFonts w:ascii="Gotham Book" w:hAnsi="Gotham Book"/>
          <w:b/>
          <w:bCs/>
          <w:sz w:val="40"/>
          <w:szCs w:val="40"/>
        </w:rPr>
      </w:pPr>
      <w:r w:rsidRPr="0032694C">
        <w:rPr>
          <w:rFonts w:ascii="Gotham Book" w:hAnsi="Gotham Book"/>
          <w:b/>
          <w:bCs/>
          <w:sz w:val="40"/>
          <w:szCs w:val="40"/>
        </w:rPr>
        <w:t>7</w:t>
      </w:r>
      <w:r w:rsidRPr="0032694C">
        <w:rPr>
          <w:rFonts w:ascii="Gotham Book" w:hAnsi="Gotham Book"/>
          <w:b/>
          <w:bCs/>
          <w:sz w:val="40"/>
          <w:szCs w:val="40"/>
          <w:vertAlign w:val="superscript"/>
        </w:rPr>
        <w:t>th</w:t>
      </w:r>
      <w:r w:rsidRPr="0032694C">
        <w:rPr>
          <w:rFonts w:ascii="Gotham Book" w:hAnsi="Gotham Book"/>
          <w:b/>
          <w:bCs/>
          <w:sz w:val="40"/>
          <w:szCs w:val="40"/>
        </w:rPr>
        <w:t xml:space="preserve"> Grade Lesson Plan:</w:t>
      </w:r>
      <w:bookmarkEnd w:id="0"/>
      <w:r w:rsidRPr="0032694C">
        <w:rPr>
          <w:rFonts w:ascii="Gotham Book" w:hAnsi="Gotham Book"/>
          <w:b/>
          <w:bCs/>
          <w:sz w:val="40"/>
          <w:szCs w:val="40"/>
        </w:rPr>
        <w:t xml:space="preserve"> Growing Tension in Texas</w:t>
      </w:r>
    </w:p>
    <w:p w14:paraId="23DCDDAE" w14:textId="7D4FF63B" w:rsidR="004A624E" w:rsidRPr="0032694C" w:rsidRDefault="004A624E" w:rsidP="004A624E">
      <w:pPr>
        <w:spacing w:after="0" w:line="240" w:lineRule="auto"/>
        <w:jc w:val="center"/>
        <w:rPr>
          <w:rFonts w:ascii="Gotham Book" w:hAnsi="Gotham Book"/>
          <w:b/>
          <w:bCs/>
          <w:color w:val="747474" w:themeColor="background2" w:themeShade="80"/>
          <w:sz w:val="36"/>
          <w:szCs w:val="36"/>
        </w:rPr>
      </w:pPr>
      <w:r w:rsidRPr="0032694C">
        <w:rPr>
          <w:rFonts w:ascii="Gotham Book" w:hAnsi="Gotham Book"/>
          <w:b/>
          <w:bCs/>
          <w:color w:val="747474" w:themeColor="background2" w:themeShade="80"/>
          <w:sz w:val="36"/>
          <w:szCs w:val="36"/>
        </w:rPr>
        <w:t xml:space="preserve">(45 – </w:t>
      </w:r>
      <w:r w:rsidR="005B7AC6" w:rsidRPr="0032694C">
        <w:rPr>
          <w:rFonts w:ascii="Gotham Book" w:hAnsi="Gotham Book"/>
          <w:b/>
          <w:bCs/>
          <w:color w:val="747474" w:themeColor="background2" w:themeShade="80"/>
          <w:sz w:val="36"/>
          <w:szCs w:val="36"/>
        </w:rPr>
        <w:t>90</w:t>
      </w:r>
      <w:r w:rsidRPr="0032694C">
        <w:rPr>
          <w:rFonts w:ascii="Gotham Book" w:hAnsi="Gotham Book"/>
          <w:b/>
          <w:bCs/>
          <w:color w:val="747474" w:themeColor="background2" w:themeShade="80"/>
          <w:sz w:val="36"/>
          <w:szCs w:val="36"/>
        </w:rPr>
        <w:t xml:space="preserve"> minutes)</w:t>
      </w:r>
    </w:p>
    <w:p w14:paraId="54D60D4D" w14:textId="77777777" w:rsidR="004A624E" w:rsidRPr="00DF315E" w:rsidRDefault="004A624E" w:rsidP="004A624E">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4A624E" w:rsidRPr="00DF315E" w14:paraId="4A9B1492" w14:textId="77777777" w:rsidTr="009A276A">
        <w:tc>
          <w:tcPr>
            <w:tcW w:w="2515" w:type="dxa"/>
            <w:shd w:val="clear" w:color="auto" w:fill="E8E8E8" w:themeFill="background2"/>
          </w:tcPr>
          <w:p w14:paraId="32C92CFF" w14:textId="77777777" w:rsidR="004A624E" w:rsidRPr="0032694C" w:rsidRDefault="004A624E" w:rsidP="009A276A">
            <w:pPr>
              <w:rPr>
                <w:rFonts w:ascii="Gotham Book" w:hAnsi="Gotham Book"/>
                <w:b/>
                <w:bCs/>
                <w:color w:val="404040" w:themeColor="text1" w:themeTint="BF"/>
                <w:sz w:val="28"/>
                <w:szCs w:val="32"/>
              </w:rPr>
            </w:pPr>
            <w:r w:rsidRPr="0032694C">
              <w:rPr>
                <w:rFonts w:ascii="Gotham Book" w:hAnsi="Gotham Book"/>
                <w:b/>
                <w:bCs/>
                <w:color w:val="404040" w:themeColor="text1" w:themeTint="BF"/>
                <w:sz w:val="28"/>
                <w:szCs w:val="32"/>
              </w:rPr>
              <w:t>Objective</w:t>
            </w:r>
          </w:p>
        </w:tc>
        <w:tc>
          <w:tcPr>
            <w:tcW w:w="8275" w:type="dxa"/>
          </w:tcPr>
          <w:p w14:paraId="34FF3E0C" w14:textId="051B9357" w:rsidR="004A624E" w:rsidRDefault="004A624E" w:rsidP="009A276A">
            <w:pPr>
              <w:spacing w:after="0" w:line="240" w:lineRule="auto"/>
              <w:rPr>
                <w:rFonts w:ascii="Gotham Book" w:hAnsi="Gotham Book"/>
                <w:sz w:val="24"/>
                <w:szCs w:val="24"/>
              </w:rPr>
            </w:pPr>
            <w:r>
              <w:rPr>
                <w:rFonts w:ascii="Gotham Book" w:hAnsi="Gotham Book"/>
                <w:sz w:val="24"/>
                <w:szCs w:val="24"/>
              </w:rPr>
              <w:t xml:space="preserve">Students will </w:t>
            </w:r>
            <w:bookmarkStart w:id="1" w:name="_Hlk187838043"/>
            <w:r>
              <w:rPr>
                <w:rFonts w:ascii="Gotham Book" w:hAnsi="Gotham Book"/>
                <w:sz w:val="24"/>
                <w:szCs w:val="24"/>
              </w:rPr>
              <w:t xml:space="preserve">examine and analyze six significant historical events that led to increased tensions in Texas and across Mexico during the Mexican National Era. Students will record key information about each event and be able to identify the cause-and-effect relationship between each event. </w:t>
            </w:r>
            <w:bookmarkEnd w:id="1"/>
          </w:p>
          <w:p w14:paraId="6B7D6F18" w14:textId="77777777" w:rsidR="004A624E" w:rsidRDefault="004A624E" w:rsidP="009A276A">
            <w:pPr>
              <w:spacing w:after="0" w:line="240" w:lineRule="auto"/>
              <w:rPr>
                <w:rFonts w:ascii="Gotham Book" w:hAnsi="Gotham Book"/>
                <w:sz w:val="24"/>
                <w:szCs w:val="24"/>
              </w:rPr>
            </w:pPr>
          </w:p>
          <w:p w14:paraId="54247C45" w14:textId="77777777" w:rsidR="004A624E" w:rsidRPr="004A624E" w:rsidRDefault="004A624E" w:rsidP="004A624E">
            <w:pPr>
              <w:numPr>
                <w:ilvl w:val="0"/>
                <w:numId w:val="5"/>
              </w:numPr>
              <w:spacing w:after="0" w:line="240" w:lineRule="auto"/>
              <w:rPr>
                <w:rFonts w:ascii="Gotham Book" w:hAnsi="Gotham Book"/>
                <w:sz w:val="24"/>
                <w:szCs w:val="24"/>
              </w:rPr>
            </w:pPr>
            <w:r w:rsidRPr="004A624E">
              <w:rPr>
                <w:rFonts w:ascii="Gotham Book" w:hAnsi="Gotham Book"/>
                <w:b/>
                <w:bCs/>
                <w:i/>
                <w:iCs/>
                <w:sz w:val="24"/>
                <w:szCs w:val="24"/>
                <w:u w:val="single"/>
              </w:rPr>
              <w:t>We will</w:t>
            </w:r>
            <w:r w:rsidRPr="004A624E">
              <w:rPr>
                <w:rFonts w:ascii="Gotham Book" w:hAnsi="Gotham Book"/>
                <w:i/>
                <w:iCs/>
                <w:sz w:val="24"/>
                <w:szCs w:val="24"/>
              </w:rPr>
              <w:t xml:space="preserve"> analyze six significant events that led to increased tension in Texas and Mexico. </w:t>
            </w:r>
          </w:p>
          <w:p w14:paraId="16C04633" w14:textId="77777777" w:rsidR="004A624E" w:rsidRPr="004A624E" w:rsidRDefault="004A624E" w:rsidP="004A624E">
            <w:pPr>
              <w:numPr>
                <w:ilvl w:val="0"/>
                <w:numId w:val="5"/>
              </w:numPr>
              <w:spacing w:after="0" w:line="240" w:lineRule="auto"/>
              <w:rPr>
                <w:rFonts w:ascii="Gotham Book" w:hAnsi="Gotham Book"/>
                <w:sz w:val="24"/>
                <w:szCs w:val="24"/>
              </w:rPr>
            </w:pPr>
            <w:r w:rsidRPr="004A624E">
              <w:rPr>
                <w:rFonts w:ascii="Gotham Book" w:hAnsi="Gotham Book"/>
                <w:b/>
                <w:bCs/>
                <w:i/>
                <w:iCs/>
                <w:sz w:val="24"/>
                <w:szCs w:val="24"/>
                <w:u w:val="single"/>
              </w:rPr>
              <w:t>I will</w:t>
            </w:r>
            <w:r w:rsidRPr="004A624E">
              <w:rPr>
                <w:rFonts w:ascii="Gotham Book" w:hAnsi="Gotham Book"/>
                <w:i/>
                <w:iCs/>
                <w:sz w:val="24"/>
                <w:szCs w:val="24"/>
              </w:rPr>
              <w:t xml:space="preserve"> record key information about each event including its significance to the era. I will be able to demonstrate the cause-and-effect relationship between each event.</w:t>
            </w:r>
          </w:p>
          <w:p w14:paraId="6AD00D4C" w14:textId="16963779" w:rsidR="004A624E" w:rsidRPr="00DF315E" w:rsidRDefault="004A624E" w:rsidP="009A276A">
            <w:pPr>
              <w:spacing w:after="0" w:line="240" w:lineRule="auto"/>
              <w:rPr>
                <w:rFonts w:ascii="Gotham Book" w:hAnsi="Gotham Book"/>
                <w:sz w:val="24"/>
                <w:szCs w:val="24"/>
              </w:rPr>
            </w:pPr>
          </w:p>
        </w:tc>
      </w:tr>
      <w:tr w:rsidR="004A624E" w:rsidRPr="00DF315E" w14:paraId="7CA33F3F" w14:textId="77777777" w:rsidTr="009A276A">
        <w:tc>
          <w:tcPr>
            <w:tcW w:w="2515" w:type="dxa"/>
            <w:shd w:val="clear" w:color="auto" w:fill="E8E8E8" w:themeFill="background2"/>
          </w:tcPr>
          <w:p w14:paraId="3A70F789" w14:textId="77777777" w:rsidR="004A624E" w:rsidRPr="0032694C" w:rsidRDefault="004A624E" w:rsidP="009A276A">
            <w:pPr>
              <w:rPr>
                <w:rFonts w:ascii="Gotham Book" w:hAnsi="Gotham Book"/>
                <w:b/>
                <w:bCs/>
                <w:color w:val="404040" w:themeColor="text1" w:themeTint="BF"/>
                <w:sz w:val="28"/>
                <w:szCs w:val="32"/>
              </w:rPr>
            </w:pPr>
            <w:r w:rsidRPr="0032694C">
              <w:rPr>
                <w:rFonts w:ascii="Gotham Book" w:hAnsi="Gotham Book"/>
                <w:b/>
                <w:bCs/>
                <w:color w:val="404040" w:themeColor="text1" w:themeTint="BF"/>
                <w:sz w:val="28"/>
                <w:szCs w:val="32"/>
              </w:rPr>
              <w:t>Key Concepts</w:t>
            </w:r>
          </w:p>
        </w:tc>
        <w:tc>
          <w:tcPr>
            <w:tcW w:w="8275" w:type="dxa"/>
          </w:tcPr>
          <w:p w14:paraId="3204E683" w14:textId="77777777" w:rsidR="004A624E" w:rsidRDefault="004A624E" w:rsidP="004A624E">
            <w:pPr>
              <w:pStyle w:val="ListParagraph"/>
              <w:numPr>
                <w:ilvl w:val="0"/>
                <w:numId w:val="6"/>
              </w:numPr>
              <w:spacing w:after="0" w:line="240" w:lineRule="auto"/>
              <w:rPr>
                <w:rFonts w:ascii="Gotham Book" w:hAnsi="Gotham Book"/>
                <w:sz w:val="24"/>
                <w:szCs w:val="24"/>
              </w:rPr>
            </w:pPr>
            <w:r>
              <w:rPr>
                <w:rFonts w:ascii="Gotham Book" w:hAnsi="Gotham Book"/>
                <w:sz w:val="24"/>
                <w:szCs w:val="24"/>
              </w:rPr>
              <w:t>Following the Fredonian Rebellion, there was a series of events that led to increased tensions in Texas including the Mier y Teran Report, the Law of April 6, 1830, the Turtle Bayou Resolutions, the Conventions of 1832 and 1833, and the arrest of Stephen F. Austin.</w:t>
            </w:r>
          </w:p>
          <w:p w14:paraId="2DC3D273" w14:textId="77777777" w:rsidR="004A624E" w:rsidRDefault="004A624E" w:rsidP="004A624E">
            <w:pPr>
              <w:pStyle w:val="ListParagraph"/>
              <w:numPr>
                <w:ilvl w:val="0"/>
                <w:numId w:val="6"/>
              </w:numPr>
              <w:spacing w:after="0" w:line="240" w:lineRule="auto"/>
              <w:rPr>
                <w:rFonts w:ascii="Gotham Book" w:hAnsi="Gotham Book"/>
                <w:sz w:val="24"/>
                <w:szCs w:val="24"/>
              </w:rPr>
            </w:pPr>
            <w:r>
              <w:rPr>
                <w:rFonts w:ascii="Gotham Book" w:hAnsi="Gotham Book"/>
                <w:sz w:val="24"/>
                <w:szCs w:val="24"/>
              </w:rPr>
              <w:t>Growing conflict between Centralists and Federalists in Mexico contributed to the increased tensions in Texas as many Anglos and Tejanos sided with the Federalists.</w:t>
            </w:r>
          </w:p>
          <w:p w14:paraId="1AD51C16" w14:textId="24ABAA21" w:rsidR="004A624E" w:rsidRPr="004A624E" w:rsidRDefault="004A624E" w:rsidP="004A624E">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cause-and-effect relationship between the six events in the day’s lesson were significant contributing factors on the road to the Texas Revolution.</w:t>
            </w:r>
          </w:p>
        </w:tc>
      </w:tr>
      <w:tr w:rsidR="004A624E" w:rsidRPr="00DF315E" w14:paraId="19F34A38" w14:textId="77777777" w:rsidTr="009A276A">
        <w:tc>
          <w:tcPr>
            <w:tcW w:w="2515" w:type="dxa"/>
            <w:shd w:val="clear" w:color="auto" w:fill="E8E8E8" w:themeFill="background2"/>
          </w:tcPr>
          <w:p w14:paraId="1DBE4A20" w14:textId="77777777" w:rsidR="004A624E" w:rsidRPr="0032694C" w:rsidRDefault="004A624E" w:rsidP="009A276A">
            <w:pPr>
              <w:rPr>
                <w:rFonts w:ascii="Gotham Book" w:hAnsi="Gotham Book"/>
                <w:b/>
                <w:bCs/>
                <w:color w:val="404040" w:themeColor="text1" w:themeTint="BF"/>
                <w:sz w:val="28"/>
                <w:szCs w:val="32"/>
              </w:rPr>
            </w:pPr>
            <w:r w:rsidRPr="0032694C">
              <w:rPr>
                <w:rFonts w:ascii="Gotham Book" w:hAnsi="Gotham Book"/>
                <w:b/>
                <w:bCs/>
                <w:color w:val="404040" w:themeColor="text1" w:themeTint="BF"/>
                <w:sz w:val="28"/>
                <w:szCs w:val="32"/>
              </w:rPr>
              <w:t>Skills</w:t>
            </w:r>
          </w:p>
        </w:tc>
        <w:tc>
          <w:tcPr>
            <w:tcW w:w="8275" w:type="dxa"/>
          </w:tcPr>
          <w:p w14:paraId="2B8B3049" w14:textId="77777777" w:rsidR="004A624E" w:rsidRDefault="004A624E" w:rsidP="004A624E">
            <w:pPr>
              <w:pStyle w:val="ListParagraph"/>
              <w:numPr>
                <w:ilvl w:val="0"/>
                <w:numId w:val="9"/>
              </w:numPr>
              <w:spacing w:after="0" w:line="240" w:lineRule="auto"/>
              <w:rPr>
                <w:rFonts w:ascii="Gotham Book" w:hAnsi="Gotham Book"/>
                <w:sz w:val="24"/>
                <w:szCs w:val="24"/>
              </w:rPr>
            </w:pPr>
            <w:r>
              <w:rPr>
                <w:rFonts w:ascii="Gotham Book" w:hAnsi="Gotham Book"/>
                <w:sz w:val="24"/>
                <w:szCs w:val="24"/>
              </w:rPr>
              <w:t>Reading for context and key information.</w:t>
            </w:r>
          </w:p>
          <w:p w14:paraId="0032757D" w14:textId="77777777" w:rsidR="004A624E" w:rsidRDefault="004A624E" w:rsidP="004A624E">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Making inferences and drawing conclusions about an historical event. </w:t>
            </w:r>
          </w:p>
          <w:p w14:paraId="04C68C6B" w14:textId="77777777" w:rsidR="004A624E" w:rsidRDefault="004A624E" w:rsidP="004A624E">
            <w:pPr>
              <w:pStyle w:val="ListParagraph"/>
              <w:numPr>
                <w:ilvl w:val="0"/>
                <w:numId w:val="9"/>
              </w:numPr>
              <w:spacing w:after="0" w:line="240" w:lineRule="auto"/>
              <w:rPr>
                <w:rFonts w:ascii="Gotham Book" w:hAnsi="Gotham Book"/>
                <w:sz w:val="24"/>
                <w:szCs w:val="24"/>
              </w:rPr>
            </w:pPr>
            <w:r>
              <w:rPr>
                <w:rFonts w:ascii="Gotham Book" w:hAnsi="Gotham Book"/>
                <w:sz w:val="24"/>
                <w:szCs w:val="24"/>
              </w:rPr>
              <w:t>Identifying the significance of an historical event.</w:t>
            </w:r>
          </w:p>
          <w:p w14:paraId="64C9B666" w14:textId="77777777" w:rsidR="00090831" w:rsidRDefault="00090831" w:rsidP="004A624E">
            <w:pPr>
              <w:pStyle w:val="ListParagraph"/>
              <w:numPr>
                <w:ilvl w:val="0"/>
                <w:numId w:val="9"/>
              </w:numPr>
              <w:spacing w:after="0" w:line="240" w:lineRule="auto"/>
              <w:rPr>
                <w:rFonts w:ascii="Gotham Book" w:hAnsi="Gotham Book"/>
                <w:sz w:val="24"/>
                <w:szCs w:val="24"/>
              </w:rPr>
            </w:pPr>
            <w:r>
              <w:rPr>
                <w:rFonts w:ascii="Gotham Book" w:hAnsi="Gotham Book"/>
                <w:sz w:val="24"/>
                <w:szCs w:val="24"/>
              </w:rPr>
              <w:t>Note-taking skills including paraphrasing and summarizing when possible.</w:t>
            </w:r>
          </w:p>
          <w:p w14:paraId="043F5E9C" w14:textId="77777777" w:rsidR="00090831" w:rsidRDefault="00090831" w:rsidP="004A624E">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Identifying and explaining cause-and-effect relationships between significant historical events. </w:t>
            </w:r>
          </w:p>
          <w:p w14:paraId="282E7961" w14:textId="54756EFC" w:rsidR="0032694C" w:rsidRPr="004A624E" w:rsidRDefault="0032694C" w:rsidP="0032694C">
            <w:pPr>
              <w:pStyle w:val="ListParagraph"/>
              <w:spacing w:after="0" w:line="240" w:lineRule="auto"/>
              <w:rPr>
                <w:rFonts w:ascii="Gotham Book" w:hAnsi="Gotham Book"/>
                <w:sz w:val="24"/>
                <w:szCs w:val="24"/>
              </w:rPr>
            </w:pPr>
          </w:p>
        </w:tc>
      </w:tr>
      <w:tr w:rsidR="004A624E" w:rsidRPr="00DF315E" w14:paraId="1B139E7B" w14:textId="77777777" w:rsidTr="009A276A">
        <w:tc>
          <w:tcPr>
            <w:tcW w:w="2515" w:type="dxa"/>
            <w:shd w:val="clear" w:color="auto" w:fill="E8E8E8" w:themeFill="background2"/>
          </w:tcPr>
          <w:p w14:paraId="257300DD" w14:textId="382FA119" w:rsidR="004A624E" w:rsidRPr="0032694C" w:rsidRDefault="004A624E" w:rsidP="009A276A">
            <w:pPr>
              <w:rPr>
                <w:rFonts w:ascii="Gotham Book" w:hAnsi="Gotham Book"/>
                <w:b/>
                <w:bCs/>
                <w:color w:val="404040" w:themeColor="text1" w:themeTint="BF"/>
                <w:sz w:val="28"/>
                <w:szCs w:val="32"/>
              </w:rPr>
            </w:pPr>
            <w:r w:rsidRPr="0032694C">
              <w:rPr>
                <w:rFonts w:ascii="Gotham Book" w:hAnsi="Gotham Book"/>
                <w:b/>
                <w:bCs/>
                <w:color w:val="404040" w:themeColor="text1" w:themeTint="BF"/>
                <w:sz w:val="28"/>
                <w:szCs w:val="32"/>
              </w:rPr>
              <w:t>Essential Question</w:t>
            </w:r>
            <w:r w:rsidR="00090831" w:rsidRPr="0032694C">
              <w:rPr>
                <w:rFonts w:ascii="Gotham Book" w:hAnsi="Gotham Book"/>
                <w:b/>
                <w:bCs/>
                <w:color w:val="404040" w:themeColor="text1" w:themeTint="BF"/>
                <w:sz w:val="28"/>
                <w:szCs w:val="32"/>
              </w:rPr>
              <w:t>s</w:t>
            </w:r>
          </w:p>
        </w:tc>
        <w:tc>
          <w:tcPr>
            <w:tcW w:w="8275" w:type="dxa"/>
          </w:tcPr>
          <w:p w14:paraId="219A09C3" w14:textId="77777777" w:rsidR="004A624E" w:rsidRDefault="00090831" w:rsidP="009A276A">
            <w:pPr>
              <w:rPr>
                <w:rFonts w:ascii="Gotham Book" w:hAnsi="Gotham Book"/>
                <w:sz w:val="24"/>
                <w:szCs w:val="24"/>
              </w:rPr>
            </w:pPr>
            <w:bookmarkStart w:id="2" w:name="_Hlk187838351"/>
            <w:r w:rsidRPr="00090831">
              <w:rPr>
                <w:rFonts w:ascii="Gotham Book" w:hAnsi="Gotham Book"/>
                <w:sz w:val="24"/>
                <w:szCs w:val="24"/>
              </w:rPr>
              <w:t>What were six significant events during this era that led to increased issues and tension in Texas and across Mexico?  What is the cause-and-effect relationship between each event?</w:t>
            </w:r>
            <w:bookmarkEnd w:id="2"/>
          </w:p>
          <w:p w14:paraId="4F6039EA" w14:textId="77777777" w:rsidR="00355C83" w:rsidRDefault="00355C83" w:rsidP="009A276A">
            <w:pPr>
              <w:rPr>
                <w:rFonts w:ascii="Gotham Book" w:hAnsi="Gotham Book"/>
                <w:sz w:val="24"/>
                <w:szCs w:val="24"/>
              </w:rPr>
            </w:pPr>
          </w:p>
          <w:p w14:paraId="47F4F2CE" w14:textId="399F3F26" w:rsidR="0032694C" w:rsidRPr="00090831" w:rsidRDefault="0032694C" w:rsidP="009A276A">
            <w:pPr>
              <w:rPr>
                <w:rFonts w:ascii="Gotham Book" w:hAnsi="Gotham Book"/>
                <w:sz w:val="24"/>
                <w:szCs w:val="24"/>
              </w:rPr>
            </w:pPr>
          </w:p>
        </w:tc>
      </w:tr>
      <w:tr w:rsidR="004A624E" w:rsidRPr="00DF315E" w14:paraId="2C8C05A0" w14:textId="77777777" w:rsidTr="009A276A">
        <w:trPr>
          <w:trHeight w:val="305"/>
        </w:trPr>
        <w:tc>
          <w:tcPr>
            <w:tcW w:w="2515" w:type="dxa"/>
            <w:shd w:val="clear" w:color="auto" w:fill="E8E8E8" w:themeFill="background2"/>
          </w:tcPr>
          <w:p w14:paraId="5AB39FC3" w14:textId="77777777" w:rsidR="004A624E" w:rsidRPr="0032694C" w:rsidRDefault="004A624E" w:rsidP="009A276A">
            <w:pPr>
              <w:rPr>
                <w:rFonts w:ascii="Gotham Book" w:hAnsi="Gotham Book"/>
                <w:b/>
                <w:bCs/>
                <w:color w:val="404040" w:themeColor="text1" w:themeTint="BF"/>
                <w:sz w:val="28"/>
                <w:szCs w:val="32"/>
              </w:rPr>
            </w:pPr>
            <w:r w:rsidRPr="0032694C">
              <w:rPr>
                <w:rFonts w:ascii="Gotham Book" w:hAnsi="Gotham Book"/>
                <w:b/>
                <w:bCs/>
                <w:color w:val="404040" w:themeColor="text1" w:themeTint="BF"/>
                <w:sz w:val="28"/>
                <w:szCs w:val="32"/>
              </w:rPr>
              <w:lastRenderedPageBreak/>
              <w:t>Assignment</w:t>
            </w:r>
          </w:p>
        </w:tc>
        <w:tc>
          <w:tcPr>
            <w:tcW w:w="8275" w:type="dxa"/>
          </w:tcPr>
          <w:p w14:paraId="1AC3D73F" w14:textId="77777777" w:rsidR="004A624E" w:rsidRPr="0032694C" w:rsidRDefault="004A624E" w:rsidP="009A276A">
            <w:pPr>
              <w:spacing w:after="0" w:line="240" w:lineRule="auto"/>
              <w:rPr>
                <w:rFonts w:ascii="Gotham Book" w:hAnsi="Gotham Book"/>
                <w:b/>
                <w:bCs/>
                <w:sz w:val="24"/>
                <w:szCs w:val="24"/>
              </w:rPr>
            </w:pPr>
            <w:r w:rsidRPr="00DF315E">
              <w:rPr>
                <w:rFonts w:ascii="Gotham Book" w:hAnsi="Gotham Book"/>
                <w:sz w:val="24"/>
                <w:szCs w:val="24"/>
              </w:rPr>
              <w:t xml:space="preserve"> </w:t>
            </w:r>
            <w:r w:rsidR="00090831" w:rsidRPr="0032694C">
              <w:rPr>
                <w:rFonts w:ascii="Gotham Book" w:hAnsi="Gotham Book"/>
                <w:b/>
                <w:bCs/>
                <w:sz w:val="24"/>
                <w:szCs w:val="24"/>
              </w:rPr>
              <w:t>Warm-up</w:t>
            </w:r>
          </w:p>
          <w:p w14:paraId="4243D32F" w14:textId="77777777" w:rsidR="00090831" w:rsidRDefault="00090831" w:rsidP="009A276A">
            <w:pPr>
              <w:spacing w:after="0" w:line="240" w:lineRule="auto"/>
              <w:rPr>
                <w:rFonts w:ascii="Gotham Book" w:hAnsi="Gotham Book"/>
                <w:sz w:val="24"/>
                <w:szCs w:val="24"/>
              </w:rPr>
            </w:pPr>
          </w:p>
          <w:p w14:paraId="3D07811A" w14:textId="77777777" w:rsidR="00090831" w:rsidRDefault="00090831" w:rsidP="00090831">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Students will </w:t>
            </w:r>
            <w:bookmarkStart w:id="3" w:name="_Hlk187838857"/>
            <w:r>
              <w:rPr>
                <w:rFonts w:ascii="Gotham Book" w:hAnsi="Gotham Book"/>
                <w:sz w:val="24"/>
                <w:szCs w:val="24"/>
              </w:rPr>
              <w:t xml:space="preserve">read a list of four events that they might see in this lesson as they learn about the growing tension in Texas. Students identify which two events they believe likely happened, and which two events they think did not happen. Students make this decision based on their prior knowledge regarding the Empresario System in Texas. </w:t>
            </w:r>
            <w:bookmarkEnd w:id="3"/>
          </w:p>
          <w:p w14:paraId="64721C76" w14:textId="77777777" w:rsidR="00090831" w:rsidRDefault="00090831" w:rsidP="00090831">
            <w:pPr>
              <w:spacing w:after="0" w:line="240" w:lineRule="auto"/>
              <w:rPr>
                <w:rFonts w:ascii="Gotham Book" w:hAnsi="Gotham Book"/>
                <w:sz w:val="24"/>
                <w:szCs w:val="24"/>
              </w:rPr>
            </w:pPr>
          </w:p>
          <w:p w14:paraId="59342F69" w14:textId="77777777" w:rsidR="00090831" w:rsidRPr="0032694C" w:rsidRDefault="00090831" w:rsidP="00090831">
            <w:pPr>
              <w:spacing w:after="0" w:line="240" w:lineRule="auto"/>
              <w:rPr>
                <w:rFonts w:ascii="Gotham Book" w:hAnsi="Gotham Book"/>
                <w:b/>
                <w:bCs/>
                <w:sz w:val="24"/>
                <w:szCs w:val="24"/>
              </w:rPr>
            </w:pPr>
            <w:r w:rsidRPr="0032694C">
              <w:rPr>
                <w:rFonts w:ascii="Gotham Book" w:hAnsi="Gotham Book"/>
                <w:b/>
                <w:bCs/>
                <w:sz w:val="24"/>
                <w:szCs w:val="24"/>
              </w:rPr>
              <w:t>Lesson</w:t>
            </w:r>
          </w:p>
          <w:p w14:paraId="53E022E8" w14:textId="77777777" w:rsidR="00090831" w:rsidRDefault="00090831" w:rsidP="00090831">
            <w:pPr>
              <w:spacing w:after="0" w:line="240" w:lineRule="auto"/>
              <w:rPr>
                <w:rFonts w:ascii="Gotham Book" w:hAnsi="Gotham Book"/>
                <w:sz w:val="24"/>
                <w:szCs w:val="24"/>
              </w:rPr>
            </w:pPr>
          </w:p>
          <w:p w14:paraId="1966A654" w14:textId="77777777" w:rsidR="00090831" w:rsidRDefault="00090831" w:rsidP="00090831">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Students will examine and record information about six significant events that led to increased tension in Texas and Mexico during this era. </w:t>
            </w:r>
          </w:p>
          <w:p w14:paraId="69E5CBB5" w14:textId="018D72FE" w:rsidR="00090831" w:rsidRDefault="00090831" w:rsidP="00090831">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Students will read short passages about each event, identifying key information including “what,” “where,” “who,” “when,” and “why.” </w:t>
            </w:r>
          </w:p>
          <w:p w14:paraId="305BC29F" w14:textId="77777777" w:rsidR="00090831" w:rsidRDefault="00090831" w:rsidP="00090831">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Whenever possible, students are encouraged to paraphrase and summarize in their notetaking. </w:t>
            </w:r>
          </w:p>
          <w:p w14:paraId="25A0457F" w14:textId="77777777" w:rsidR="00090831" w:rsidRDefault="00090831" w:rsidP="00090831">
            <w:pPr>
              <w:spacing w:after="0" w:line="240" w:lineRule="auto"/>
              <w:rPr>
                <w:rFonts w:ascii="Gotham Book" w:hAnsi="Gotham Book"/>
                <w:sz w:val="24"/>
                <w:szCs w:val="24"/>
              </w:rPr>
            </w:pPr>
          </w:p>
          <w:p w14:paraId="6032FB50" w14:textId="77777777" w:rsidR="00090831" w:rsidRPr="0032694C" w:rsidRDefault="00090831" w:rsidP="00090831">
            <w:pPr>
              <w:spacing w:after="0" w:line="240" w:lineRule="auto"/>
              <w:rPr>
                <w:rFonts w:ascii="Gotham Book" w:hAnsi="Gotham Book"/>
                <w:b/>
                <w:bCs/>
                <w:sz w:val="24"/>
                <w:szCs w:val="24"/>
              </w:rPr>
            </w:pPr>
            <w:r w:rsidRPr="0032694C">
              <w:rPr>
                <w:rFonts w:ascii="Gotham Book" w:hAnsi="Gotham Book"/>
                <w:b/>
                <w:bCs/>
                <w:sz w:val="24"/>
                <w:szCs w:val="24"/>
              </w:rPr>
              <w:t>Exit Ticket</w:t>
            </w:r>
          </w:p>
          <w:p w14:paraId="15CD63E2" w14:textId="77777777" w:rsidR="00090831" w:rsidRDefault="00090831" w:rsidP="00090831">
            <w:pPr>
              <w:spacing w:after="0" w:line="240" w:lineRule="auto"/>
              <w:rPr>
                <w:rFonts w:ascii="Gotham Book" w:hAnsi="Gotham Book"/>
                <w:sz w:val="24"/>
                <w:szCs w:val="24"/>
              </w:rPr>
            </w:pPr>
          </w:p>
          <w:p w14:paraId="67D30DA8" w14:textId="35AD71E0" w:rsidR="00090831" w:rsidRDefault="00090831" w:rsidP="00090831">
            <w:pPr>
              <w:pStyle w:val="ListParagraph"/>
              <w:numPr>
                <w:ilvl w:val="0"/>
                <w:numId w:val="11"/>
              </w:numPr>
              <w:spacing w:after="0" w:line="240" w:lineRule="auto"/>
              <w:rPr>
                <w:rFonts w:ascii="Gotham Book" w:hAnsi="Gotham Book"/>
                <w:sz w:val="24"/>
                <w:szCs w:val="24"/>
              </w:rPr>
            </w:pPr>
            <w:r>
              <w:rPr>
                <w:rFonts w:ascii="Gotham Book" w:hAnsi="Gotham Book"/>
                <w:sz w:val="24"/>
                <w:szCs w:val="24"/>
              </w:rPr>
              <w:t xml:space="preserve">Students </w:t>
            </w:r>
            <w:r w:rsidR="00AE03EB">
              <w:rPr>
                <w:rFonts w:ascii="Gotham Book" w:hAnsi="Gotham Book"/>
                <w:sz w:val="24"/>
                <w:szCs w:val="24"/>
              </w:rPr>
              <w:t xml:space="preserve">will </w:t>
            </w:r>
            <w:bookmarkStart w:id="4" w:name="_Hlk187838889"/>
            <w:r>
              <w:rPr>
                <w:rFonts w:ascii="Gotham Book" w:hAnsi="Gotham Book"/>
                <w:sz w:val="24"/>
                <w:szCs w:val="24"/>
              </w:rPr>
              <w:t xml:space="preserve">choose ONE event from </w:t>
            </w:r>
            <w:r w:rsidR="00AE03EB">
              <w:rPr>
                <w:rFonts w:ascii="Gotham Book" w:hAnsi="Gotham Book"/>
                <w:sz w:val="24"/>
                <w:szCs w:val="24"/>
              </w:rPr>
              <w:t>the</w:t>
            </w:r>
            <w:r>
              <w:rPr>
                <w:rFonts w:ascii="Gotham Book" w:hAnsi="Gotham Book"/>
                <w:sz w:val="24"/>
                <w:szCs w:val="24"/>
              </w:rPr>
              <w:t xml:space="preserve"> day’s lesson and explain what caused the event and what the effect of the event was. </w:t>
            </w:r>
          </w:p>
          <w:bookmarkEnd w:id="4"/>
          <w:p w14:paraId="3804D5D4" w14:textId="744470D0" w:rsidR="00090831" w:rsidRPr="00090831" w:rsidRDefault="00090831" w:rsidP="00090831">
            <w:pPr>
              <w:spacing w:after="0" w:line="240" w:lineRule="auto"/>
              <w:rPr>
                <w:rFonts w:ascii="Gotham Book" w:hAnsi="Gotham Book"/>
                <w:sz w:val="24"/>
                <w:szCs w:val="24"/>
              </w:rPr>
            </w:pPr>
          </w:p>
        </w:tc>
      </w:tr>
      <w:tr w:rsidR="004A624E" w:rsidRPr="00DF315E" w14:paraId="1A081E6A" w14:textId="77777777" w:rsidTr="009A276A">
        <w:tc>
          <w:tcPr>
            <w:tcW w:w="2515" w:type="dxa"/>
            <w:shd w:val="clear" w:color="auto" w:fill="E8E8E8" w:themeFill="background2"/>
          </w:tcPr>
          <w:p w14:paraId="12C09C47" w14:textId="77777777" w:rsidR="004A624E" w:rsidRPr="0032694C" w:rsidRDefault="004A624E" w:rsidP="009A276A">
            <w:pPr>
              <w:rPr>
                <w:rFonts w:ascii="Gotham Book" w:hAnsi="Gotham Book"/>
                <w:b/>
                <w:bCs/>
                <w:color w:val="404040" w:themeColor="text1" w:themeTint="BF"/>
                <w:sz w:val="28"/>
                <w:szCs w:val="32"/>
              </w:rPr>
            </w:pPr>
            <w:r w:rsidRPr="0032694C">
              <w:rPr>
                <w:rFonts w:ascii="Gotham Book" w:hAnsi="Gotham Book"/>
                <w:b/>
                <w:bCs/>
                <w:color w:val="404040" w:themeColor="text1" w:themeTint="BF"/>
                <w:sz w:val="28"/>
                <w:szCs w:val="32"/>
              </w:rPr>
              <w:t>Materials</w:t>
            </w:r>
          </w:p>
        </w:tc>
        <w:tc>
          <w:tcPr>
            <w:tcW w:w="8275" w:type="dxa"/>
          </w:tcPr>
          <w:p w14:paraId="0237F869" w14:textId="77777777" w:rsidR="004A624E" w:rsidRPr="00DF315E" w:rsidRDefault="004A624E" w:rsidP="009A276A">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3841727E" w14:textId="77777777" w:rsidR="004A624E" w:rsidRPr="00DF315E" w:rsidRDefault="004A624E" w:rsidP="004A624E">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41D214E8" w14:textId="77777777" w:rsidR="004A624E" w:rsidRPr="00DF315E" w:rsidRDefault="004A624E" w:rsidP="004A624E">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3378DD8D" w14:textId="77777777" w:rsidR="004A624E" w:rsidRPr="00DF315E" w:rsidRDefault="004A624E" w:rsidP="004A624E">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3ED838D3" w14:textId="77777777" w:rsidR="004A624E" w:rsidRPr="00DF315E" w:rsidRDefault="004A624E" w:rsidP="004A624E">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0808BEE3" w14:textId="77777777" w:rsidR="004A624E" w:rsidRPr="00DF315E" w:rsidRDefault="004A624E" w:rsidP="004A624E">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528FC1D6" w14:textId="77777777" w:rsidR="004A624E" w:rsidRPr="00DF315E" w:rsidRDefault="004A624E" w:rsidP="004A624E">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700C117F" w14:textId="77777777" w:rsidR="004A624E" w:rsidRPr="00DF315E" w:rsidRDefault="004A624E" w:rsidP="009A276A">
            <w:pPr>
              <w:rPr>
                <w:rFonts w:ascii="Gotham Book" w:hAnsi="Gotham Book"/>
                <w:sz w:val="24"/>
                <w:szCs w:val="24"/>
              </w:rPr>
            </w:pPr>
          </w:p>
        </w:tc>
      </w:tr>
      <w:tr w:rsidR="004A624E" w:rsidRPr="00DF315E" w14:paraId="7A79B6EC" w14:textId="77777777" w:rsidTr="009A276A">
        <w:tc>
          <w:tcPr>
            <w:tcW w:w="2515" w:type="dxa"/>
            <w:shd w:val="clear" w:color="auto" w:fill="E8E8E8" w:themeFill="background2"/>
          </w:tcPr>
          <w:p w14:paraId="448383ED" w14:textId="77777777" w:rsidR="004A624E" w:rsidRPr="0032694C" w:rsidRDefault="004A624E" w:rsidP="009A276A">
            <w:pPr>
              <w:rPr>
                <w:rFonts w:ascii="Gotham Book" w:hAnsi="Gotham Book"/>
                <w:b/>
                <w:bCs/>
                <w:color w:val="404040" w:themeColor="text1" w:themeTint="BF"/>
                <w:sz w:val="28"/>
                <w:szCs w:val="32"/>
              </w:rPr>
            </w:pPr>
            <w:r w:rsidRPr="0032694C">
              <w:rPr>
                <w:rFonts w:ascii="Gotham Book" w:hAnsi="Gotham Book"/>
                <w:b/>
                <w:bCs/>
                <w:color w:val="404040" w:themeColor="text1" w:themeTint="BF"/>
                <w:sz w:val="28"/>
                <w:szCs w:val="32"/>
              </w:rPr>
              <w:t>Differentiation</w:t>
            </w:r>
          </w:p>
        </w:tc>
        <w:tc>
          <w:tcPr>
            <w:tcW w:w="8275" w:type="dxa"/>
          </w:tcPr>
          <w:p w14:paraId="0468F684" w14:textId="77777777" w:rsidR="004A624E" w:rsidRPr="00DF315E" w:rsidRDefault="004A624E" w:rsidP="004A624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49C5CA25" w14:textId="77777777" w:rsidR="004A624E" w:rsidRPr="00DF315E" w:rsidRDefault="004A624E" w:rsidP="004A624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43E8BD04" w14:textId="77777777" w:rsidR="004A624E" w:rsidRPr="00DF315E" w:rsidRDefault="004A624E" w:rsidP="004A624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52A8188B" w14:textId="77777777" w:rsidR="004A624E" w:rsidRPr="00DF315E" w:rsidRDefault="004A624E" w:rsidP="004A624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15C28163" w14:textId="77777777" w:rsidR="004A624E" w:rsidRDefault="004A624E" w:rsidP="004A624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p w14:paraId="7A3B1669" w14:textId="3C614608" w:rsidR="00090831" w:rsidRDefault="00090831" w:rsidP="004A624E">
            <w:pPr>
              <w:pStyle w:val="ListParagraph"/>
              <w:numPr>
                <w:ilvl w:val="0"/>
                <w:numId w:val="4"/>
              </w:numPr>
              <w:spacing w:after="0" w:line="240" w:lineRule="auto"/>
              <w:rPr>
                <w:rFonts w:ascii="Gotham Book" w:hAnsi="Gotham Book"/>
                <w:sz w:val="24"/>
                <w:szCs w:val="24"/>
              </w:rPr>
            </w:pPr>
            <w:r>
              <w:rPr>
                <w:rFonts w:ascii="Gotham Book" w:hAnsi="Gotham Book"/>
                <w:sz w:val="24"/>
                <w:szCs w:val="24"/>
              </w:rPr>
              <w:lastRenderedPageBreak/>
              <w:t>Note-taking assistance, showing students what to write and a reduction in the amount of writing</w:t>
            </w:r>
          </w:p>
          <w:p w14:paraId="7819C30E" w14:textId="2D064B44" w:rsidR="00090831" w:rsidRPr="00DF315E" w:rsidRDefault="00090831" w:rsidP="004A624E">
            <w:pPr>
              <w:pStyle w:val="ListParagraph"/>
              <w:numPr>
                <w:ilvl w:val="0"/>
                <w:numId w:val="4"/>
              </w:numPr>
              <w:spacing w:after="0" w:line="240" w:lineRule="auto"/>
              <w:rPr>
                <w:rFonts w:ascii="Gotham Book" w:hAnsi="Gotham Book"/>
                <w:sz w:val="24"/>
                <w:szCs w:val="24"/>
              </w:rPr>
            </w:pPr>
            <w:r>
              <w:rPr>
                <w:rFonts w:ascii="Gotham Book" w:hAnsi="Gotham Book"/>
                <w:sz w:val="24"/>
                <w:szCs w:val="24"/>
              </w:rPr>
              <w:t>Literacy supports including presenting key information in bold text.</w:t>
            </w:r>
          </w:p>
          <w:p w14:paraId="61EA743A" w14:textId="77777777" w:rsidR="004A624E" w:rsidRPr="00DF315E" w:rsidRDefault="004A624E" w:rsidP="009A276A">
            <w:pPr>
              <w:rPr>
                <w:rFonts w:ascii="Gotham Book" w:hAnsi="Gotham Book"/>
                <w:sz w:val="24"/>
                <w:szCs w:val="24"/>
              </w:rPr>
            </w:pPr>
          </w:p>
        </w:tc>
      </w:tr>
      <w:tr w:rsidR="004A624E" w:rsidRPr="00DF315E" w14:paraId="032C950D" w14:textId="77777777" w:rsidTr="009A276A">
        <w:tc>
          <w:tcPr>
            <w:tcW w:w="2515" w:type="dxa"/>
            <w:shd w:val="clear" w:color="auto" w:fill="E8E8E8" w:themeFill="background2"/>
          </w:tcPr>
          <w:p w14:paraId="2A6B847B" w14:textId="77777777" w:rsidR="004A624E" w:rsidRPr="0032694C" w:rsidRDefault="004A624E" w:rsidP="009A276A">
            <w:pPr>
              <w:rPr>
                <w:rFonts w:ascii="Gotham Book" w:hAnsi="Gotham Book"/>
                <w:b/>
                <w:bCs/>
                <w:color w:val="404040" w:themeColor="text1" w:themeTint="BF"/>
                <w:sz w:val="28"/>
                <w:szCs w:val="32"/>
              </w:rPr>
            </w:pPr>
            <w:r w:rsidRPr="0032694C">
              <w:rPr>
                <w:rFonts w:ascii="Gotham Book" w:hAnsi="Gotham Book"/>
                <w:b/>
                <w:bCs/>
                <w:color w:val="404040" w:themeColor="text1" w:themeTint="BF"/>
                <w:sz w:val="28"/>
                <w:szCs w:val="32"/>
              </w:rPr>
              <w:lastRenderedPageBreak/>
              <w:t>TEKS</w:t>
            </w:r>
          </w:p>
          <w:p w14:paraId="79C62930" w14:textId="77777777" w:rsidR="004A624E" w:rsidRPr="00DF315E" w:rsidRDefault="004A624E" w:rsidP="009A276A">
            <w:pPr>
              <w:rPr>
                <w:rFonts w:ascii="Gotham Book" w:hAnsi="Gotham Book"/>
                <w:b/>
                <w:bCs/>
                <w:i/>
                <w:iCs/>
                <w:color w:val="404040" w:themeColor="text1" w:themeTint="BF"/>
                <w:sz w:val="28"/>
                <w:szCs w:val="32"/>
              </w:rPr>
            </w:pPr>
          </w:p>
          <w:p w14:paraId="422713B8" w14:textId="77777777" w:rsidR="004A624E" w:rsidRPr="00DF315E" w:rsidRDefault="004A624E" w:rsidP="009A276A">
            <w:pPr>
              <w:rPr>
                <w:rFonts w:ascii="Gotham Book" w:hAnsi="Gotham Book"/>
                <w:b/>
                <w:bCs/>
                <w:i/>
                <w:iCs/>
                <w:color w:val="404040" w:themeColor="text1" w:themeTint="BF"/>
                <w:sz w:val="28"/>
                <w:szCs w:val="32"/>
              </w:rPr>
            </w:pPr>
          </w:p>
        </w:tc>
        <w:tc>
          <w:tcPr>
            <w:tcW w:w="8275" w:type="dxa"/>
          </w:tcPr>
          <w:p w14:paraId="52F003CC" w14:textId="47E69418" w:rsidR="00090831" w:rsidRDefault="00090831" w:rsidP="004A624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7.03(A) </w:t>
            </w:r>
            <w:r>
              <w:rPr>
                <w:rFonts w:ascii="Gotham Book" w:hAnsi="Gotham Book"/>
                <w:sz w:val="24"/>
                <w:szCs w:val="24"/>
              </w:rPr>
              <w:t>Describe the chain of events that led to the Texas Revolution, including the Fredonian Rebellion, the Mier y Teran Report, the Law of April 6, 1830, the Turtle Bayou Resolutions, and the arrest of Stephen F. Austin.</w:t>
            </w:r>
          </w:p>
          <w:p w14:paraId="7D8C4FA7" w14:textId="648944C8" w:rsidR="00090831" w:rsidRPr="00090831" w:rsidRDefault="00090831" w:rsidP="004A624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7.02(E) </w:t>
            </w:r>
            <w:r>
              <w:rPr>
                <w:rFonts w:ascii="Gotham Book" w:hAnsi="Gotham Book"/>
                <w:sz w:val="24"/>
                <w:szCs w:val="24"/>
              </w:rPr>
              <w:t>Identify the contributions of significant individuals, including Stephen F. Austin</w:t>
            </w:r>
          </w:p>
          <w:p w14:paraId="702C484B" w14:textId="65824DD0" w:rsidR="004A624E" w:rsidRPr="00DF315E" w:rsidRDefault="004A624E" w:rsidP="004A624E">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6DDE45E7" w14:textId="77777777" w:rsidR="004A624E" w:rsidRPr="00DF315E" w:rsidRDefault="004A624E" w:rsidP="009A276A">
            <w:pPr>
              <w:pStyle w:val="ListParagraph"/>
              <w:spacing w:after="0" w:line="240" w:lineRule="auto"/>
              <w:rPr>
                <w:rFonts w:ascii="Gotham Book" w:hAnsi="Gotham Book"/>
                <w:sz w:val="24"/>
                <w:szCs w:val="24"/>
              </w:rPr>
            </w:pPr>
          </w:p>
        </w:tc>
      </w:tr>
    </w:tbl>
    <w:p w14:paraId="605EB703" w14:textId="77777777" w:rsidR="004A624E" w:rsidRPr="00DF315E" w:rsidRDefault="004A624E" w:rsidP="004A624E">
      <w:pPr>
        <w:rPr>
          <w:rFonts w:ascii="Gotham Book" w:hAnsi="Gotham Book"/>
          <w:sz w:val="22"/>
          <w:szCs w:val="22"/>
        </w:rPr>
      </w:pPr>
    </w:p>
    <w:p w14:paraId="2C9FDD23" w14:textId="77777777" w:rsidR="004A624E" w:rsidRDefault="004A624E" w:rsidP="004A624E">
      <w:pPr>
        <w:spacing w:after="0" w:line="240" w:lineRule="auto"/>
        <w:jc w:val="center"/>
        <w:rPr>
          <w:rFonts w:ascii="Gotham Book" w:hAnsi="Gotham Book"/>
          <w:b/>
          <w:bCs/>
          <w:color w:val="747474" w:themeColor="background2" w:themeShade="80"/>
          <w:sz w:val="34"/>
          <w:szCs w:val="32"/>
        </w:rPr>
      </w:pPr>
    </w:p>
    <w:p w14:paraId="3A610C44" w14:textId="77777777" w:rsidR="00F43072" w:rsidRDefault="00F43072" w:rsidP="004A624E">
      <w:pPr>
        <w:spacing w:after="0" w:line="240" w:lineRule="auto"/>
        <w:jc w:val="center"/>
        <w:rPr>
          <w:rFonts w:ascii="Gotham Book" w:hAnsi="Gotham Book"/>
          <w:b/>
          <w:bCs/>
          <w:color w:val="747474" w:themeColor="background2" w:themeShade="80"/>
          <w:sz w:val="34"/>
          <w:szCs w:val="32"/>
        </w:rPr>
      </w:pPr>
    </w:p>
    <w:p w14:paraId="4A3C4002" w14:textId="77777777" w:rsidR="00F43072" w:rsidRDefault="00F43072" w:rsidP="004A624E">
      <w:pPr>
        <w:spacing w:after="0" w:line="240" w:lineRule="auto"/>
        <w:jc w:val="center"/>
        <w:rPr>
          <w:rFonts w:ascii="Gotham Book" w:hAnsi="Gotham Book"/>
          <w:b/>
          <w:bCs/>
          <w:color w:val="747474" w:themeColor="background2" w:themeShade="80"/>
          <w:sz w:val="34"/>
          <w:szCs w:val="32"/>
        </w:rPr>
      </w:pPr>
    </w:p>
    <w:p w14:paraId="696E9F93" w14:textId="77777777" w:rsidR="00F43072" w:rsidRDefault="00F43072" w:rsidP="004A624E">
      <w:pPr>
        <w:spacing w:after="0" w:line="240" w:lineRule="auto"/>
        <w:jc w:val="center"/>
        <w:rPr>
          <w:rFonts w:ascii="Gotham Book" w:hAnsi="Gotham Book"/>
          <w:b/>
          <w:bCs/>
          <w:color w:val="747474" w:themeColor="background2" w:themeShade="80"/>
          <w:sz w:val="34"/>
          <w:szCs w:val="32"/>
        </w:rPr>
      </w:pPr>
    </w:p>
    <w:p w14:paraId="3CB85E68" w14:textId="77777777" w:rsidR="00F43072" w:rsidRDefault="00F43072" w:rsidP="004A624E">
      <w:pPr>
        <w:spacing w:after="0" w:line="240" w:lineRule="auto"/>
        <w:jc w:val="center"/>
        <w:rPr>
          <w:rFonts w:ascii="Gotham Book" w:hAnsi="Gotham Book"/>
          <w:b/>
          <w:bCs/>
          <w:color w:val="747474" w:themeColor="background2" w:themeShade="80"/>
          <w:sz w:val="34"/>
          <w:szCs w:val="32"/>
        </w:rPr>
      </w:pPr>
    </w:p>
    <w:p w14:paraId="16FB7EE1" w14:textId="77777777" w:rsidR="00F43072" w:rsidRDefault="00F43072" w:rsidP="004A624E">
      <w:pPr>
        <w:spacing w:after="0" w:line="240" w:lineRule="auto"/>
        <w:jc w:val="center"/>
        <w:rPr>
          <w:rFonts w:ascii="Gotham Book" w:hAnsi="Gotham Book"/>
          <w:b/>
          <w:bCs/>
          <w:color w:val="747474" w:themeColor="background2" w:themeShade="80"/>
          <w:sz w:val="34"/>
          <w:szCs w:val="32"/>
        </w:rPr>
      </w:pPr>
    </w:p>
    <w:p w14:paraId="19FC2963" w14:textId="77777777" w:rsidR="00F43072" w:rsidRDefault="00F43072" w:rsidP="004A624E">
      <w:pPr>
        <w:spacing w:after="0" w:line="240" w:lineRule="auto"/>
        <w:jc w:val="center"/>
        <w:rPr>
          <w:rFonts w:ascii="Gotham Book" w:hAnsi="Gotham Book"/>
          <w:b/>
          <w:bCs/>
          <w:color w:val="747474" w:themeColor="background2" w:themeShade="80"/>
          <w:sz w:val="34"/>
          <w:szCs w:val="32"/>
        </w:rPr>
      </w:pPr>
    </w:p>
    <w:p w14:paraId="329BD7E3" w14:textId="77777777" w:rsidR="00F43072" w:rsidRDefault="00F43072" w:rsidP="004A624E">
      <w:pPr>
        <w:spacing w:after="0" w:line="240" w:lineRule="auto"/>
        <w:jc w:val="center"/>
        <w:rPr>
          <w:rFonts w:ascii="Gotham Book" w:hAnsi="Gotham Book"/>
          <w:b/>
          <w:bCs/>
          <w:color w:val="747474" w:themeColor="background2" w:themeShade="80"/>
          <w:sz w:val="34"/>
          <w:szCs w:val="32"/>
        </w:rPr>
      </w:pPr>
    </w:p>
    <w:p w14:paraId="22EAB9DB" w14:textId="77777777" w:rsidR="00F43072" w:rsidRDefault="00F43072" w:rsidP="004A624E">
      <w:pPr>
        <w:spacing w:after="0" w:line="240" w:lineRule="auto"/>
        <w:jc w:val="center"/>
        <w:rPr>
          <w:rFonts w:ascii="Gotham Book" w:hAnsi="Gotham Book"/>
          <w:b/>
          <w:bCs/>
          <w:color w:val="747474" w:themeColor="background2" w:themeShade="80"/>
          <w:sz w:val="34"/>
          <w:szCs w:val="32"/>
        </w:rPr>
      </w:pPr>
    </w:p>
    <w:p w14:paraId="7A3B25A9" w14:textId="77777777" w:rsidR="00F43072" w:rsidRDefault="00F43072" w:rsidP="004A624E">
      <w:pPr>
        <w:spacing w:after="0" w:line="240" w:lineRule="auto"/>
        <w:jc w:val="center"/>
        <w:rPr>
          <w:rFonts w:ascii="Gotham Book" w:hAnsi="Gotham Book"/>
          <w:b/>
          <w:bCs/>
          <w:color w:val="747474" w:themeColor="background2" w:themeShade="80"/>
          <w:sz w:val="34"/>
          <w:szCs w:val="32"/>
        </w:rPr>
      </w:pPr>
    </w:p>
    <w:p w14:paraId="64234A59" w14:textId="77777777" w:rsidR="00F43072" w:rsidRDefault="00F43072" w:rsidP="004A624E">
      <w:pPr>
        <w:spacing w:after="0" w:line="240" w:lineRule="auto"/>
        <w:jc w:val="center"/>
        <w:rPr>
          <w:rFonts w:ascii="Gotham Book" w:hAnsi="Gotham Book"/>
          <w:b/>
          <w:bCs/>
          <w:color w:val="747474" w:themeColor="background2" w:themeShade="80"/>
          <w:sz w:val="34"/>
          <w:szCs w:val="32"/>
        </w:rPr>
      </w:pPr>
    </w:p>
    <w:p w14:paraId="3BBA4063" w14:textId="77777777" w:rsidR="00F43072" w:rsidRDefault="00F43072" w:rsidP="004A624E">
      <w:pPr>
        <w:spacing w:after="0" w:line="240" w:lineRule="auto"/>
        <w:jc w:val="center"/>
        <w:rPr>
          <w:rFonts w:ascii="Gotham Book" w:hAnsi="Gotham Book"/>
          <w:b/>
          <w:bCs/>
          <w:color w:val="747474" w:themeColor="background2" w:themeShade="80"/>
          <w:sz w:val="34"/>
          <w:szCs w:val="32"/>
        </w:rPr>
      </w:pPr>
    </w:p>
    <w:p w14:paraId="3696A4AC" w14:textId="77777777" w:rsidR="00F43072" w:rsidRDefault="00F43072" w:rsidP="004A624E">
      <w:pPr>
        <w:spacing w:after="0" w:line="240" w:lineRule="auto"/>
        <w:jc w:val="center"/>
        <w:rPr>
          <w:rFonts w:ascii="Gotham Book" w:hAnsi="Gotham Book"/>
          <w:b/>
          <w:bCs/>
          <w:color w:val="747474" w:themeColor="background2" w:themeShade="80"/>
          <w:sz w:val="34"/>
          <w:szCs w:val="32"/>
        </w:rPr>
      </w:pPr>
    </w:p>
    <w:p w14:paraId="22FCE8AC" w14:textId="77777777" w:rsidR="00F43072" w:rsidRDefault="00F43072" w:rsidP="004A624E">
      <w:pPr>
        <w:spacing w:after="0" w:line="240" w:lineRule="auto"/>
        <w:jc w:val="center"/>
        <w:rPr>
          <w:rFonts w:ascii="Gotham Book" w:hAnsi="Gotham Book"/>
          <w:b/>
          <w:bCs/>
          <w:color w:val="747474" w:themeColor="background2" w:themeShade="80"/>
          <w:sz w:val="34"/>
          <w:szCs w:val="32"/>
        </w:rPr>
      </w:pPr>
    </w:p>
    <w:p w14:paraId="780134C2" w14:textId="77777777" w:rsidR="00F43072" w:rsidRDefault="00F43072" w:rsidP="004A624E">
      <w:pPr>
        <w:spacing w:after="0" w:line="240" w:lineRule="auto"/>
        <w:jc w:val="center"/>
        <w:rPr>
          <w:rFonts w:ascii="Gotham Book" w:hAnsi="Gotham Book"/>
          <w:b/>
          <w:bCs/>
          <w:color w:val="747474" w:themeColor="background2" w:themeShade="80"/>
          <w:sz w:val="34"/>
          <w:szCs w:val="32"/>
        </w:rPr>
      </w:pPr>
    </w:p>
    <w:p w14:paraId="7CADF118" w14:textId="77777777" w:rsidR="00355C83" w:rsidRDefault="00355C83" w:rsidP="004A624E">
      <w:pPr>
        <w:spacing w:after="0" w:line="240" w:lineRule="auto"/>
        <w:jc w:val="center"/>
        <w:rPr>
          <w:rFonts w:ascii="Gotham Book" w:hAnsi="Gotham Book"/>
          <w:b/>
          <w:bCs/>
          <w:color w:val="747474" w:themeColor="background2" w:themeShade="80"/>
          <w:sz w:val="34"/>
          <w:szCs w:val="32"/>
        </w:rPr>
      </w:pPr>
    </w:p>
    <w:p w14:paraId="1E7199FB" w14:textId="77777777" w:rsidR="00F43072" w:rsidRDefault="00F43072" w:rsidP="004A624E">
      <w:pPr>
        <w:spacing w:after="0" w:line="240" w:lineRule="auto"/>
        <w:jc w:val="center"/>
        <w:rPr>
          <w:rFonts w:ascii="Gotham Book" w:hAnsi="Gotham Book"/>
          <w:b/>
          <w:bCs/>
          <w:color w:val="747474" w:themeColor="background2" w:themeShade="80"/>
          <w:sz w:val="34"/>
          <w:szCs w:val="32"/>
        </w:rPr>
      </w:pPr>
    </w:p>
    <w:p w14:paraId="621FA2CC" w14:textId="77777777" w:rsidR="00F43072" w:rsidRPr="00DF315E" w:rsidRDefault="00F43072" w:rsidP="004A624E">
      <w:pPr>
        <w:spacing w:after="0" w:line="240" w:lineRule="auto"/>
        <w:jc w:val="center"/>
        <w:rPr>
          <w:rFonts w:ascii="Gotham Book" w:hAnsi="Gotham Book"/>
          <w:b/>
          <w:bCs/>
          <w:color w:val="747474" w:themeColor="background2" w:themeShade="80"/>
          <w:sz w:val="34"/>
          <w:szCs w:val="32"/>
        </w:rPr>
      </w:pPr>
    </w:p>
    <w:p w14:paraId="0BF3598A" w14:textId="3FD91F7C" w:rsidR="004A624E" w:rsidRPr="00DF315E" w:rsidRDefault="004A624E" w:rsidP="004A624E">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F43072">
        <w:rPr>
          <w:rFonts w:ascii="Gotham Book" w:hAnsi="Gotham Book"/>
          <w:b/>
          <w:bCs/>
          <w:color w:val="000000" w:themeColor="text1"/>
          <w:sz w:val="34"/>
          <w:szCs w:val="32"/>
        </w:rPr>
        <w:t>Growing Tension in Texas</w:t>
      </w:r>
    </w:p>
    <w:p w14:paraId="11BEC419" w14:textId="77777777" w:rsidR="004A624E" w:rsidRPr="00DF315E" w:rsidRDefault="004A624E" w:rsidP="004A624E">
      <w:pPr>
        <w:rPr>
          <w:rFonts w:ascii="Gotham Book" w:hAnsi="Gotham Book"/>
          <w:sz w:val="22"/>
          <w:szCs w:val="22"/>
        </w:rPr>
      </w:pPr>
    </w:p>
    <w:tbl>
      <w:tblPr>
        <w:tblStyle w:val="TableGrid"/>
        <w:tblW w:w="0" w:type="auto"/>
        <w:tblLook w:val="04A0" w:firstRow="1" w:lastRow="0" w:firstColumn="1" w:lastColumn="0" w:noHBand="0" w:noVBand="1"/>
      </w:tblPr>
      <w:tblGrid>
        <w:gridCol w:w="2243"/>
        <w:gridCol w:w="7107"/>
      </w:tblGrid>
      <w:tr w:rsidR="004A624E" w:rsidRPr="00DF315E" w14:paraId="1574B949" w14:textId="77777777" w:rsidTr="009A276A">
        <w:tc>
          <w:tcPr>
            <w:tcW w:w="2515" w:type="dxa"/>
            <w:shd w:val="clear" w:color="auto" w:fill="D9D9D9" w:themeFill="background1" w:themeFillShade="D9"/>
          </w:tcPr>
          <w:p w14:paraId="5E75B910" w14:textId="77777777" w:rsidR="004A624E" w:rsidRPr="0032694C" w:rsidRDefault="004A624E" w:rsidP="009A276A">
            <w:pPr>
              <w:rPr>
                <w:rFonts w:ascii="Gotham Book" w:hAnsi="Gotham Book"/>
                <w:b/>
                <w:bCs/>
                <w:sz w:val="28"/>
                <w:szCs w:val="32"/>
              </w:rPr>
            </w:pPr>
            <w:r w:rsidRPr="0032694C">
              <w:rPr>
                <w:rFonts w:ascii="Gotham Book" w:hAnsi="Gotham Book"/>
                <w:b/>
                <w:bCs/>
                <w:sz w:val="28"/>
                <w:szCs w:val="32"/>
              </w:rPr>
              <w:t>Warm-up</w:t>
            </w:r>
          </w:p>
          <w:p w14:paraId="65498DAD" w14:textId="77777777" w:rsidR="004A624E" w:rsidRPr="00DF315E" w:rsidRDefault="004A624E" w:rsidP="009A276A">
            <w:pPr>
              <w:rPr>
                <w:rFonts w:ascii="Gotham Book" w:hAnsi="Gotham Book"/>
                <w:b/>
                <w:bCs/>
                <w:i/>
                <w:iCs/>
                <w:sz w:val="28"/>
                <w:szCs w:val="32"/>
              </w:rPr>
            </w:pPr>
          </w:p>
          <w:p w14:paraId="51CD1125" w14:textId="77777777" w:rsidR="004A624E" w:rsidRPr="00DF315E" w:rsidRDefault="004A624E" w:rsidP="009A276A">
            <w:pPr>
              <w:rPr>
                <w:rFonts w:ascii="Gotham Book" w:hAnsi="Gotham Book"/>
                <w:b/>
                <w:bCs/>
                <w:i/>
                <w:iCs/>
                <w:sz w:val="28"/>
                <w:szCs w:val="32"/>
              </w:rPr>
            </w:pPr>
          </w:p>
          <w:p w14:paraId="4317967A" w14:textId="77777777" w:rsidR="004A624E" w:rsidRPr="00DF315E" w:rsidRDefault="004A624E" w:rsidP="009A276A">
            <w:pPr>
              <w:rPr>
                <w:rFonts w:ascii="Gotham Book" w:hAnsi="Gotham Book"/>
                <w:b/>
                <w:bCs/>
                <w:i/>
                <w:iCs/>
                <w:sz w:val="28"/>
                <w:szCs w:val="32"/>
              </w:rPr>
            </w:pPr>
          </w:p>
        </w:tc>
        <w:tc>
          <w:tcPr>
            <w:tcW w:w="8275" w:type="dxa"/>
          </w:tcPr>
          <w:p w14:paraId="0C14D8F7" w14:textId="77777777" w:rsidR="004A624E" w:rsidRDefault="00F43072" w:rsidP="00F43072">
            <w:pPr>
              <w:pStyle w:val="ListParagraph"/>
              <w:numPr>
                <w:ilvl w:val="0"/>
                <w:numId w:val="12"/>
              </w:numPr>
              <w:spacing w:after="0" w:line="276" w:lineRule="auto"/>
              <w:rPr>
                <w:rFonts w:ascii="Gotham Book" w:hAnsi="Gotham Book"/>
                <w:sz w:val="24"/>
                <w:szCs w:val="24"/>
              </w:rPr>
            </w:pPr>
            <w:r>
              <w:rPr>
                <w:rFonts w:ascii="Gotham Book" w:hAnsi="Gotham Book"/>
                <w:sz w:val="24"/>
                <w:szCs w:val="24"/>
              </w:rPr>
              <w:t xml:space="preserve">Students are informed that the day’s lesson includes several events that occur to increase tension in Texas and Mexico. They are given a list of four possible events. Two of the events happened, and the other two did not. </w:t>
            </w:r>
          </w:p>
          <w:p w14:paraId="013B0680" w14:textId="77777777" w:rsidR="00F43072" w:rsidRDefault="00F43072" w:rsidP="00F43072">
            <w:pPr>
              <w:pStyle w:val="ListParagraph"/>
              <w:numPr>
                <w:ilvl w:val="0"/>
                <w:numId w:val="12"/>
              </w:numPr>
              <w:spacing w:after="0" w:line="276" w:lineRule="auto"/>
              <w:rPr>
                <w:rFonts w:ascii="Gotham Book" w:hAnsi="Gotham Book"/>
                <w:sz w:val="24"/>
                <w:szCs w:val="24"/>
              </w:rPr>
            </w:pPr>
            <w:r>
              <w:rPr>
                <w:rFonts w:ascii="Gotham Book" w:hAnsi="Gotham Book"/>
                <w:sz w:val="24"/>
                <w:szCs w:val="24"/>
              </w:rPr>
              <w:t xml:space="preserve">Using their prior knowledge of the unit, students make an educated guess which two events they think were likely to have happened and which two were not. </w:t>
            </w:r>
          </w:p>
          <w:p w14:paraId="19EE86F8" w14:textId="77777777" w:rsidR="00F43072" w:rsidRDefault="00F43072" w:rsidP="00F43072">
            <w:pPr>
              <w:pStyle w:val="ListParagraph"/>
              <w:numPr>
                <w:ilvl w:val="0"/>
                <w:numId w:val="12"/>
              </w:numPr>
              <w:spacing w:after="0" w:line="276" w:lineRule="auto"/>
              <w:rPr>
                <w:rFonts w:ascii="Gotham Book" w:hAnsi="Gotham Book"/>
                <w:sz w:val="24"/>
                <w:szCs w:val="24"/>
              </w:rPr>
            </w:pPr>
            <w:r>
              <w:rPr>
                <w:rFonts w:ascii="Gotham Book" w:hAnsi="Gotham Book"/>
                <w:sz w:val="24"/>
                <w:szCs w:val="24"/>
              </w:rPr>
              <w:t>To increase the challenge, students can be asked to explain their reasoning.</w:t>
            </w:r>
          </w:p>
          <w:p w14:paraId="723A4AD4" w14:textId="77777777" w:rsidR="00F43072" w:rsidRDefault="00F43072" w:rsidP="00F43072">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2 and 3 restate the directions for the warm-up and provide sentence stems to guide student responses when sharing with the class.</w:t>
            </w:r>
          </w:p>
          <w:p w14:paraId="24D744AB" w14:textId="77777777" w:rsidR="00F43072" w:rsidRDefault="00F43072" w:rsidP="00F43072">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4 and 5 present the essential question and the “We will / I will” statements for the lesson.</w:t>
            </w:r>
          </w:p>
          <w:p w14:paraId="7AF49E95" w14:textId="1AAB4609" w:rsidR="00F43072" w:rsidRPr="00F43072" w:rsidRDefault="00F43072" w:rsidP="00F43072">
            <w:pPr>
              <w:pStyle w:val="ListParagraph"/>
              <w:spacing w:after="0" w:line="276" w:lineRule="auto"/>
              <w:rPr>
                <w:rFonts w:ascii="Gotham Book" w:hAnsi="Gotham Book"/>
                <w:sz w:val="24"/>
                <w:szCs w:val="24"/>
              </w:rPr>
            </w:pPr>
          </w:p>
        </w:tc>
      </w:tr>
      <w:tr w:rsidR="004A624E" w:rsidRPr="00DF315E" w14:paraId="43304E50" w14:textId="77777777" w:rsidTr="009A276A">
        <w:tc>
          <w:tcPr>
            <w:tcW w:w="2515" w:type="dxa"/>
            <w:shd w:val="clear" w:color="auto" w:fill="D9D9D9" w:themeFill="background1" w:themeFillShade="D9"/>
          </w:tcPr>
          <w:p w14:paraId="39F4E270" w14:textId="77777777" w:rsidR="004A624E" w:rsidRPr="0032694C" w:rsidRDefault="004A624E" w:rsidP="009A276A">
            <w:pPr>
              <w:rPr>
                <w:rFonts w:ascii="Gotham Book" w:hAnsi="Gotham Book"/>
                <w:b/>
                <w:bCs/>
                <w:sz w:val="28"/>
                <w:szCs w:val="32"/>
              </w:rPr>
            </w:pPr>
            <w:r w:rsidRPr="0032694C">
              <w:rPr>
                <w:rFonts w:ascii="Gotham Book" w:hAnsi="Gotham Book"/>
                <w:b/>
                <w:bCs/>
                <w:sz w:val="28"/>
                <w:szCs w:val="32"/>
              </w:rPr>
              <w:t>Lesson</w:t>
            </w:r>
          </w:p>
        </w:tc>
        <w:tc>
          <w:tcPr>
            <w:tcW w:w="8275" w:type="dxa"/>
          </w:tcPr>
          <w:p w14:paraId="60204B29" w14:textId="77777777" w:rsidR="004A624E" w:rsidRPr="00F43072" w:rsidRDefault="00F43072" w:rsidP="00F43072">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Slide 6</w:t>
            </w:r>
            <w:r>
              <w:rPr>
                <w:rFonts w:ascii="Gotham Book" w:hAnsi="Gotham Book"/>
                <w:color w:val="000000" w:themeColor="text1"/>
                <w:sz w:val="24"/>
                <w:szCs w:val="24"/>
              </w:rPr>
              <w:t xml:space="preserve"> introduces the lesson, providing a context for the day’s lesson beginning with the Fredonian Rebellion and explaining that there was a chain of events following the attempted rebellion that led to increased tension in Texas.</w:t>
            </w:r>
          </w:p>
          <w:p w14:paraId="13175481" w14:textId="77777777" w:rsidR="00F43072" w:rsidRPr="00F43072" w:rsidRDefault="00F43072" w:rsidP="00F43072">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On their worksheet, directions instruct students to take notes on the events they will study in the lesson, including information about who, what, when, where, and why. Not every question will be answered for each event.  Students can be encouraged to paraphrase and summarize whenever possible. </w:t>
            </w:r>
          </w:p>
          <w:p w14:paraId="21B4D6D8" w14:textId="77777777" w:rsidR="00F43072" w:rsidRPr="001F3894" w:rsidRDefault="00F43072" w:rsidP="00F43072">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Each of the 6 events that students will learn in the lesson </w:t>
            </w:r>
            <w:r w:rsidR="001F3894">
              <w:rPr>
                <w:rFonts w:ascii="Gotham Book" w:hAnsi="Gotham Book"/>
                <w:color w:val="000000" w:themeColor="text1"/>
                <w:sz w:val="24"/>
                <w:szCs w:val="24"/>
              </w:rPr>
              <w:t>has</w:t>
            </w:r>
            <w:r>
              <w:rPr>
                <w:rFonts w:ascii="Gotham Book" w:hAnsi="Gotham Book"/>
                <w:color w:val="000000" w:themeColor="text1"/>
                <w:sz w:val="24"/>
                <w:szCs w:val="24"/>
              </w:rPr>
              <w:t xml:space="preserve"> two slides in the slideshow: One slide presents the information in a reading that explains the event. The second slide breaks down the key information students should write.</w:t>
            </w:r>
            <w:r w:rsidR="001F3894">
              <w:rPr>
                <w:rFonts w:ascii="Gotham Book" w:hAnsi="Gotham Book"/>
                <w:color w:val="000000" w:themeColor="text1"/>
                <w:sz w:val="24"/>
                <w:szCs w:val="24"/>
              </w:rPr>
              <w:t xml:space="preserve"> To provide more of a challenge, you can encourage students to identify key information before showing the notetaking slide and have them share the information they chose with the class.</w:t>
            </w:r>
          </w:p>
          <w:p w14:paraId="3A2047DD" w14:textId="77777777" w:rsidR="001F3894" w:rsidRPr="001F3894" w:rsidRDefault="001F3894" w:rsidP="00F43072">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Slides 7 and 8:</w:t>
            </w:r>
            <w:r w:rsidRPr="00355C83">
              <w:rPr>
                <w:rFonts w:ascii="Gotham Book" w:hAnsi="Gotham Book"/>
                <w:color w:val="000000" w:themeColor="text1"/>
                <w:sz w:val="24"/>
                <w:szCs w:val="24"/>
              </w:rPr>
              <w:t xml:space="preserve"> </w:t>
            </w:r>
            <w:r>
              <w:rPr>
                <w:rFonts w:ascii="Gotham Book" w:hAnsi="Gotham Book"/>
                <w:color w:val="000000" w:themeColor="text1"/>
                <w:sz w:val="24"/>
                <w:szCs w:val="24"/>
              </w:rPr>
              <w:t>The Fredonian Rebellion</w:t>
            </w:r>
          </w:p>
          <w:p w14:paraId="09CD9824" w14:textId="77777777" w:rsidR="001F3894" w:rsidRPr="001F3894" w:rsidRDefault="001F3894" w:rsidP="00F43072">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Slides 9 and 10:</w:t>
            </w:r>
            <w:r w:rsidRPr="00355C83">
              <w:rPr>
                <w:rFonts w:ascii="Gotham Book" w:hAnsi="Gotham Book"/>
                <w:color w:val="000000" w:themeColor="text1"/>
                <w:sz w:val="24"/>
                <w:szCs w:val="24"/>
              </w:rPr>
              <w:t xml:space="preserve"> </w:t>
            </w:r>
            <w:r>
              <w:rPr>
                <w:rFonts w:ascii="Gotham Book" w:hAnsi="Gotham Book"/>
                <w:color w:val="000000" w:themeColor="text1"/>
                <w:sz w:val="24"/>
                <w:szCs w:val="24"/>
              </w:rPr>
              <w:t>The Mier y Teran Report</w:t>
            </w:r>
          </w:p>
          <w:p w14:paraId="09EF2A6E" w14:textId="77777777" w:rsidR="001F3894" w:rsidRPr="001F3894" w:rsidRDefault="001F3894" w:rsidP="00F43072">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Slides 11 and 12:</w:t>
            </w:r>
            <w:r>
              <w:rPr>
                <w:rFonts w:ascii="Gotham Book" w:hAnsi="Gotham Book"/>
                <w:color w:val="000000" w:themeColor="text1"/>
                <w:sz w:val="24"/>
                <w:szCs w:val="24"/>
              </w:rPr>
              <w:t xml:space="preserve"> The Law of April 6, 1830</w:t>
            </w:r>
          </w:p>
          <w:p w14:paraId="5230CEEB" w14:textId="77777777" w:rsidR="001F3894" w:rsidRPr="001F3894" w:rsidRDefault="001F3894" w:rsidP="00F43072">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Slides 13 and 14:</w:t>
            </w:r>
            <w:r w:rsidRPr="00355C83">
              <w:rPr>
                <w:rFonts w:ascii="Gotham Book" w:hAnsi="Gotham Book"/>
                <w:color w:val="000000" w:themeColor="text1"/>
                <w:sz w:val="24"/>
                <w:szCs w:val="24"/>
              </w:rPr>
              <w:t xml:space="preserve"> </w:t>
            </w:r>
            <w:r>
              <w:rPr>
                <w:rFonts w:ascii="Gotham Book" w:hAnsi="Gotham Book"/>
                <w:color w:val="000000" w:themeColor="text1"/>
                <w:sz w:val="24"/>
                <w:szCs w:val="24"/>
              </w:rPr>
              <w:t>The Turtle Bayou Resolutions</w:t>
            </w:r>
          </w:p>
          <w:p w14:paraId="6D122E36" w14:textId="77777777" w:rsidR="001F3894" w:rsidRPr="001F3894" w:rsidRDefault="001F3894" w:rsidP="00F43072">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Slides 15 and 16:</w:t>
            </w:r>
            <w:r w:rsidRPr="00355C83">
              <w:rPr>
                <w:rFonts w:ascii="Gotham Book" w:hAnsi="Gotham Book"/>
                <w:color w:val="000000" w:themeColor="text1"/>
                <w:sz w:val="24"/>
                <w:szCs w:val="24"/>
              </w:rPr>
              <w:t xml:space="preserve"> </w:t>
            </w:r>
            <w:r>
              <w:rPr>
                <w:rFonts w:ascii="Gotham Book" w:hAnsi="Gotham Book"/>
                <w:color w:val="000000" w:themeColor="text1"/>
                <w:sz w:val="24"/>
                <w:szCs w:val="24"/>
              </w:rPr>
              <w:t>The Conventions of 1832 and 1833</w:t>
            </w:r>
          </w:p>
          <w:p w14:paraId="6D5D2A8B" w14:textId="77777777" w:rsidR="001F3894" w:rsidRPr="001F3894" w:rsidRDefault="001F3894" w:rsidP="00F43072">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Slides 17 and 18: </w:t>
            </w:r>
            <w:r>
              <w:rPr>
                <w:rFonts w:ascii="Gotham Book" w:hAnsi="Gotham Book"/>
                <w:color w:val="000000" w:themeColor="text1"/>
                <w:sz w:val="24"/>
                <w:szCs w:val="24"/>
              </w:rPr>
              <w:t>The arrest of Stephen F. Austin</w:t>
            </w:r>
          </w:p>
          <w:p w14:paraId="387DCEEB" w14:textId="77777777" w:rsidR="001F3894" w:rsidRDefault="001F3894" w:rsidP="001F3894">
            <w:pPr>
              <w:spacing w:after="0" w:line="240" w:lineRule="auto"/>
              <w:rPr>
                <w:rFonts w:ascii="Gotham Book" w:hAnsi="Gotham Book"/>
                <w:color w:val="000000" w:themeColor="text1"/>
                <w:sz w:val="24"/>
                <w:szCs w:val="24"/>
                <w:u w:val="single"/>
              </w:rPr>
            </w:pPr>
          </w:p>
          <w:p w14:paraId="240A4550" w14:textId="1697AD94" w:rsidR="001F3894" w:rsidRPr="001F3894" w:rsidRDefault="001F3894" w:rsidP="001F3894">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lastRenderedPageBreak/>
              <w:t xml:space="preserve">Advanced work: </w:t>
            </w:r>
            <w:r>
              <w:rPr>
                <w:rFonts w:ascii="Gotham Book" w:hAnsi="Gotham Book"/>
                <w:color w:val="000000" w:themeColor="text1"/>
                <w:sz w:val="24"/>
                <w:szCs w:val="24"/>
              </w:rPr>
              <w:t xml:space="preserve">Students should be encouraged to paraphrase the key information in the notes and record their own notes in the appropriate spaces in their worksheet. </w:t>
            </w:r>
          </w:p>
          <w:p w14:paraId="6D77C1CA" w14:textId="0F8EE18E" w:rsidR="001F3894" w:rsidRPr="001F3894" w:rsidRDefault="001F3894" w:rsidP="001F3894">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Grade Level Work: </w:t>
            </w:r>
            <w:r>
              <w:rPr>
                <w:rFonts w:ascii="Gotham Book" w:hAnsi="Gotham Book"/>
                <w:color w:val="000000" w:themeColor="text1"/>
                <w:sz w:val="24"/>
                <w:szCs w:val="24"/>
              </w:rPr>
              <w:t>Students take notes by filling in the blanks with key information from the reading and notetaking slides.</w:t>
            </w:r>
          </w:p>
          <w:p w14:paraId="26813EAC" w14:textId="77777777" w:rsidR="001F3894" w:rsidRPr="005B7AC6" w:rsidRDefault="001F3894" w:rsidP="001F3894">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Foundations Work: </w:t>
            </w:r>
            <w:r>
              <w:rPr>
                <w:rFonts w:ascii="Gotham Book" w:hAnsi="Gotham Book"/>
                <w:color w:val="000000" w:themeColor="text1"/>
                <w:sz w:val="24"/>
                <w:szCs w:val="24"/>
              </w:rPr>
              <w:t>Students fill in key words from the notes in a reduced-writing version of the grade level notes.</w:t>
            </w:r>
          </w:p>
          <w:p w14:paraId="4F62DCBD" w14:textId="77777777" w:rsidR="005B7AC6" w:rsidRDefault="005B7AC6" w:rsidP="005B7AC6">
            <w:pPr>
              <w:spacing w:after="0" w:line="240" w:lineRule="auto"/>
              <w:rPr>
                <w:rFonts w:ascii="Gotham Book" w:hAnsi="Gotham Book"/>
                <w:color w:val="000000" w:themeColor="text1"/>
                <w:sz w:val="24"/>
                <w:szCs w:val="24"/>
                <w:u w:val="single"/>
              </w:rPr>
            </w:pPr>
          </w:p>
          <w:p w14:paraId="7148DB1D" w14:textId="0CD379DE" w:rsidR="005B7AC6" w:rsidRDefault="005B7AC6" w:rsidP="005B7AC6">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NOTE: </w:t>
            </w:r>
            <w:r>
              <w:rPr>
                <w:rFonts w:ascii="Gotham Book" w:hAnsi="Gotham Book"/>
                <w:color w:val="000000" w:themeColor="text1"/>
                <w:sz w:val="24"/>
                <w:szCs w:val="24"/>
              </w:rPr>
              <w:t>The time required for the lesson could be one or two days, depending on the note-taking abilities of each class</w:t>
            </w:r>
            <w:r w:rsidR="00F61A31">
              <w:rPr>
                <w:rFonts w:ascii="Gotham Book" w:hAnsi="Gotham Book"/>
                <w:color w:val="000000" w:themeColor="text1"/>
                <w:sz w:val="24"/>
                <w:szCs w:val="24"/>
              </w:rPr>
              <w:t xml:space="preserve"> and how you choose to present the material</w:t>
            </w:r>
            <w:r>
              <w:rPr>
                <w:rFonts w:ascii="Gotham Book" w:hAnsi="Gotham Book"/>
                <w:color w:val="000000" w:themeColor="text1"/>
                <w:sz w:val="24"/>
                <w:szCs w:val="24"/>
              </w:rPr>
              <w:t xml:space="preserve">. It could be broken up into 3 events each day. </w:t>
            </w:r>
            <w:r w:rsidR="00F61A31">
              <w:rPr>
                <w:rFonts w:ascii="Gotham Book" w:hAnsi="Gotham Book"/>
                <w:color w:val="000000" w:themeColor="text1"/>
                <w:sz w:val="24"/>
                <w:szCs w:val="24"/>
              </w:rPr>
              <w:t>Teachers could also group students and assign each group one event that the students complete and present to the class.</w:t>
            </w:r>
          </w:p>
          <w:p w14:paraId="029FB004" w14:textId="07D7A907" w:rsidR="005B7AC6" w:rsidRPr="005B7AC6" w:rsidRDefault="005B7AC6" w:rsidP="005B7AC6">
            <w:pPr>
              <w:spacing w:after="0" w:line="240" w:lineRule="auto"/>
              <w:rPr>
                <w:rFonts w:ascii="Gotham Book" w:hAnsi="Gotham Book"/>
                <w:color w:val="000000" w:themeColor="text1"/>
                <w:sz w:val="24"/>
                <w:szCs w:val="24"/>
              </w:rPr>
            </w:pPr>
          </w:p>
        </w:tc>
      </w:tr>
      <w:tr w:rsidR="004A624E" w:rsidRPr="00DF315E" w14:paraId="66B7F5E2" w14:textId="77777777" w:rsidTr="009A276A">
        <w:tc>
          <w:tcPr>
            <w:tcW w:w="2515" w:type="dxa"/>
            <w:shd w:val="clear" w:color="auto" w:fill="D9D9D9" w:themeFill="background1" w:themeFillShade="D9"/>
          </w:tcPr>
          <w:p w14:paraId="2F392A22" w14:textId="77777777" w:rsidR="004A624E" w:rsidRPr="0032694C" w:rsidRDefault="004A624E" w:rsidP="009A276A">
            <w:pPr>
              <w:rPr>
                <w:rFonts w:ascii="Gotham Book" w:hAnsi="Gotham Book"/>
                <w:b/>
                <w:bCs/>
                <w:sz w:val="28"/>
                <w:szCs w:val="32"/>
              </w:rPr>
            </w:pPr>
            <w:r w:rsidRPr="0032694C">
              <w:rPr>
                <w:rFonts w:ascii="Gotham Book" w:hAnsi="Gotham Book"/>
                <w:b/>
                <w:bCs/>
                <w:sz w:val="28"/>
                <w:szCs w:val="32"/>
              </w:rPr>
              <w:lastRenderedPageBreak/>
              <w:t>Exit</w:t>
            </w:r>
            <w:r w:rsidRPr="0032694C">
              <w:rPr>
                <w:rFonts w:ascii="Gotham Book" w:hAnsi="Gotham Book"/>
                <w:sz w:val="28"/>
                <w:szCs w:val="32"/>
              </w:rPr>
              <w:t xml:space="preserve"> </w:t>
            </w:r>
            <w:r w:rsidRPr="0032694C">
              <w:rPr>
                <w:rFonts w:ascii="Gotham Book" w:hAnsi="Gotham Book"/>
                <w:b/>
                <w:bCs/>
                <w:sz w:val="28"/>
                <w:szCs w:val="32"/>
              </w:rPr>
              <w:t>Ticket</w:t>
            </w:r>
          </w:p>
          <w:p w14:paraId="3F122761" w14:textId="77777777" w:rsidR="004A624E" w:rsidRPr="00DF315E" w:rsidRDefault="004A624E" w:rsidP="009A276A">
            <w:pPr>
              <w:rPr>
                <w:rFonts w:ascii="Gotham Book" w:hAnsi="Gotham Book"/>
                <w:b/>
                <w:bCs/>
                <w:i/>
                <w:iCs/>
                <w:sz w:val="28"/>
                <w:szCs w:val="32"/>
              </w:rPr>
            </w:pPr>
          </w:p>
          <w:p w14:paraId="367D8397" w14:textId="77777777" w:rsidR="004A624E" w:rsidRPr="00DF315E" w:rsidRDefault="004A624E" w:rsidP="009A276A">
            <w:pPr>
              <w:rPr>
                <w:rFonts w:ascii="Gotham Book" w:hAnsi="Gotham Book"/>
                <w:i/>
                <w:iCs/>
                <w:sz w:val="28"/>
                <w:szCs w:val="32"/>
              </w:rPr>
            </w:pPr>
          </w:p>
        </w:tc>
        <w:tc>
          <w:tcPr>
            <w:tcW w:w="8275" w:type="dxa"/>
          </w:tcPr>
          <w:p w14:paraId="4C364716" w14:textId="77777777" w:rsidR="001F3894" w:rsidRDefault="001F3894" w:rsidP="001F3894">
            <w:pPr>
              <w:pStyle w:val="ListParagraph"/>
              <w:numPr>
                <w:ilvl w:val="0"/>
                <w:numId w:val="14"/>
              </w:numPr>
              <w:spacing w:after="0" w:line="240" w:lineRule="auto"/>
              <w:rPr>
                <w:rFonts w:ascii="Gotham Book" w:hAnsi="Gotham Book"/>
                <w:sz w:val="24"/>
                <w:szCs w:val="24"/>
              </w:rPr>
            </w:pPr>
            <w:r>
              <w:rPr>
                <w:rFonts w:ascii="Gotham Book" w:hAnsi="Gotham Book"/>
                <w:sz w:val="24"/>
                <w:szCs w:val="24"/>
              </w:rPr>
              <w:t>Students one event from the day’s lesson from the six listed in their chart, circling or highlighting their chosen event.</w:t>
            </w:r>
          </w:p>
          <w:p w14:paraId="5FF9BEDF" w14:textId="77777777" w:rsidR="001F3894" w:rsidRDefault="001F3894" w:rsidP="001F3894">
            <w:pPr>
              <w:pStyle w:val="ListParagraph"/>
              <w:numPr>
                <w:ilvl w:val="0"/>
                <w:numId w:val="14"/>
              </w:numPr>
              <w:spacing w:after="0" w:line="240" w:lineRule="auto"/>
              <w:rPr>
                <w:rFonts w:ascii="Gotham Book" w:hAnsi="Gotham Book"/>
                <w:sz w:val="24"/>
                <w:szCs w:val="24"/>
              </w:rPr>
            </w:pPr>
            <w:r>
              <w:rPr>
                <w:rFonts w:ascii="Gotham Book" w:hAnsi="Gotham Book"/>
                <w:sz w:val="24"/>
                <w:szCs w:val="24"/>
              </w:rPr>
              <w:t>Students complete the rest of the chart by explaining the CAUSE and EFFECT of the event they chose.</w:t>
            </w:r>
          </w:p>
          <w:p w14:paraId="68B456FD" w14:textId="77777777" w:rsidR="001F3894" w:rsidRDefault="001F3894" w:rsidP="001F3894">
            <w:pPr>
              <w:pStyle w:val="ListParagraph"/>
              <w:numPr>
                <w:ilvl w:val="0"/>
                <w:numId w:val="14"/>
              </w:numPr>
              <w:spacing w:after="0" w:line="240" w:lineRule="auto"/>
              <w:rPr>
                <w:rFonts w:ascii="Gotham Book" w:hAnsi="Gotham Book"/>
                <w:sz w:val="24"/>
                <w:szCs w:val="24"/>
              </w:rPr>
            </w:pPr>
            <w:r w:rsidRPr="001F3894">
              <w:rPr>
                <w:rFonts w:ascii="Gotham Book" w:hAnsi="Gotham Book"/>
                <w:b/>
                <w:bCs/>
                <w:sz w:val="24"/>
                <w:szCs w:val="24"/>
              </w:rPr>
              <w:t>NOTE</w:t>
            </w:r>
            <w:r>
              <w:rPr>
                <w:rFonts w:ascii="Gotham Book" w:hAnsi="Gotham Book"/>
                <w:sz w:val="24"/>
                <w:szCs w:val="24"/>
              </w:rPr>
              <w:t>: Students should begin in the middle of the chart where it says, “START HERE: Step 1.” The cause will go in the box before, and the effect will go in the box after.</w:t>
            </w:r>
          </w:p>
          <w:p w14:paraId="082DF90C" w14:textId="4CF85972" w:rsidR="001F3894" w:rsidRPr="001F3894" w:rsidRDefault="001F3894" w:rsidP="001F3894">
            <w:pPr>
              <w:pStyle w:val="ListParagraph"/>
              <w:numPr>
                <w:ilvl w:val="0"/>
                <w:numId w:val="14"/>
              </w:numPr>
              <w:spacing w:after="0" w:line="240" w:lineRule="auto"/>
              <w:rPr>
                <w:rFonts w:ascii="Gotham Book" w:hAnsi="Gotham Book"/>
                <w:sz w:val="24"/>
                <w:szCs w:val="24"/>
              </w:rPr>
            </w:pPr>
            <w:r w:rsidRPr="001F3894">
              <w:rPr>
                <w:rFonts w:ascii="Gotham Book" w:hAnsi="Gotham Book"/>
                <w:sz w:val="24"/>
                <w:szCs w:val="24"/>
                <w:u w:val="single"/>
              </w:rPr>
              <w:t>Slides 19 and 20</w:t>
            </w:r>
            <w:r>
              <w:rPr>
                <w:rFonts w:ascii="Gotham Book" w:hAnsi="Gotham Book"/>
                <w:sz w:val="24"/>
                <w:szCs w:val="24"/>
              </w:rPr>
              <w:t xml:space="preserve"> restate the directions for the exit ticket and provide sentence stems to guide student responses when sharing with the class.</w:t>
            </w:r>
          </w:p>
        </w:tc>
      </w:tr>
    </w:tbl>
    <w:p w14:paraId="3A60C59B" w14:textId="77777777" w:rsidR="004A624E" w:rsidRPr="00DF315E" w:rsidRDefault="004A624E" w:rsidP="004A624E">
      <w:pPr>
        <w:rPr>
          <w:rFonts w:ascii="Gotham Book" w:hAnsi="Gotham Book"/>
          <w:sz w:val="22"/>
          <w:szCs w:val="22"/>
        </w:rPr>
      </w:pPr>
    </w:p>
    <w:p w14:paraId="2D89915E" w14:textId="77777777" w:rsidR="004A624E" w:rsidRPr="00DF315E" w:rsidRDefault="004A624E" w:rsidP="004A624E">
      <w:pPr>
        <w:rPr>
          <w:rFonts w:ascii="Gotham Book" w:hAnsi="Gotham Book"/>
          <w:noProof/>
          <w:sz w:val="18"/>
          <w:szCs w:val="18"/>
        </w:rPr>
      </w:pPr>
    </w:p>
    <w:p w14:paraId="119A969F" w14:textId="77777777" w:rsidR="004A624E" w:rsidRDefault="004A624E" w:rsidP="004A624E">
      <w:pPr>
        <w:rPr>
          <w:rFonts w:ascii="Gotham Book" w:hAnsi="Gotham Book"/>
          <w:noProof/>
          <w:sz w:val="18"/>
          <w:szCs w:val="18"/>
        </w:rPr>
      </w:pPr>
    </w:p>
    <w:p w14:paraId="52262FF7" w14:textId="77777777" w:rsidR="001F3894" w:rsidRDefault="001F3894" w:rsidP="004A624E">
      <w:pPr>
        <w:rPr>
          <w:rFonts w:ascii="Gotham Book" w:hAnsi="Gotham Book"/>
          <w:noProof/>
          <w:sz w:val="18"/>
          <w:szCs w:val="18"/>
        </w:rPr>
      </w:pPr>
    </w:p>
    <w:p w14:paraId="273FC5BE" w14:textId="77777777" w:rsidR="001F3894" w:rsidRDefault="001F3894" w:rsidP="004A624E">
      <w:pPr>
        <w:rPr>
          <w:rFonts w:ascii="Gotham Book" w:hAnsi="Gotham Book"/>
          <w:noProof/>
          <w:sz w:val="18"/>
          <w:szCs w:val="18"/>
        </w:rPr>
      </w:pPr>
    </w:p>
    <w:p w14:paraId="7B722BDE" w14:textId="77777777" w:rsidR="001F3894" w:rsidRDefault="001F3894" w:rsidP="004A624E">
      <w:pPr>
        <w:rPr>
          <w:rFonts w:ascii="Gotham Book" w:hAnsi="Gotham Book"/>
          <w:noProof/>
          <w:sz w:val="18"/>
          <w:szCs w:val="18"/>
        </w:rPr>
      </w:pPr>
    </w:p>
    <w:p w14:paraId="24DE6F4A" w14:textId="77777777" w:rsidR="001F3894" w:rsidRDefault="001F3894" w:rsidP="004A624E">
      <w:pPr>
        <w:rPr>
          <w:rFonts w:ascii="Gotham Book" w:hAnsi="Gotham Book"/>
          <w:noProof/>
          <w:sz w:val="18"/>
          <w:szCs w:val="18"/>
        </w:rPr>
      </w:pPr>
    </w:p>
    <w:p w14:paraId="7810B00C" w14:textId="77777777" w:rsidR="001F3894" w:rsidRDefault="001F3894" w:rsidP="004A624E">
      <w:pPr>
        <w:rPr>
          <w:rFonts w:ascii="Gotham Book" w:hAnsi="Gotham Book"/>
          <w:noProof/>
          <w:sz w:val="18"/>
          <w:szCs w:val="18"/>
        </w:rPr>
      </w:pPr>
    </w:p>
    <w:p w14:paraId="05063DD4" w14:textId="77777777" w:rsidR="001F3894" w:rsidRDefault="001F3894" w:rsidP="004A624E">
      <w:pPr>
        <w:rPr>
          <w:rFonts w:ascii="Gotham Book" w:hAnsi="Gotham Book"/>
          <w:noProof/>
          <w:sz w:val="18"/>
          <w:szCs w:val="18"/>
        </w:rPr>
      </w:pPr>
    </w:p>
    <w:p w14:paraId="265935AD" w14:textId="77777777" w:rsidR="001F3894" w:rsidRDefault="001F3894" w:rsidP="004A624E">
      <w:pPr>
        <w:rPr>
          <w:rFonts w:ascii="Gotham Book" w:hAnsi="Gotham Book"/>
          <w:noProof/>
          <w:sz w:val="18"/>
          <w:szCs w:val="18"/>
        </w:rPr>
      </w:pPr>
    </w:p>
    <w:p w14:paraId="054F402C" w14:textId="77777777" w:rsidR="00355C83" w:rsidRDefault="00355C83" w:rsidP="004A624E">
      <w:pPr>
        <w:rPr>
          <w:rFonts w:ascii="Gotham Book" w:hAnsi="Gotham Book"/>
          <w:noProof/>
          <w:sz w:val="18"/>
          <w:szCs w:val="18"/>
        </w:rPr>
      </w:pPr>
    </w:p>
    <w:p w14:paraId="3BE71D9A" w14:textId="77777777" w:rsidR="00355C83" w:rsidRDefault="00355C83" w:rsidP="004A624E">
      <w:pPr>
        <w:rPr>
          <w:rFonts w:ascii="Gotham Book" w:hAnsi="Gotham Book"/>
          <w:noProof/>
          <w:sz w:val="18"/>
          <w:szCs w:val="18"/>
        </w:rPr>
      </w:pPr>
    </w:p>
    <w:p w14:paraId="72911292" w14:textId="77777777" w:rsidR="004A624E" w:rsidRPr="00DF315E" w:rsidRDefault="004A624E" w:rsidP="004A624E">
      <w:pPr>
        <w:rPr>
          <w:rFonts w:ascii="Gotham Book" w:hAnsi="Gotham Book"/>
          <w:noProof/>
          <w:sz w:val="18"/>
          <w:szCs w:val="18"/>
        </w:rPr>
      </w:pPr>
    </w:p>
    <w:p w14:paraId="42826FD0" w14:textId="77777777" w:rsidR="004A624E" w:rsidRPr="00DF315E" w:rsidRDefault="004A624E" w:rsidP="004A624E">
      <w:pPr>
        <w:rPr>
          <w:rFonts w:ascii="Gotham Book" w:hAnsi="Gotham Book"/>
          <w:noProof/>
          <w:sz w:val="18"/>
          <w:szCs w:val="18"/>
        </w:rPr>
      </w:pPr>
    </w:p>
    <w:p w14:paraId="2108534F" w14:textId="77777777" w:rsidR="004A624E" w:rsidRPr="00093A67" w:rsidRDefault="004A624E" w:rsidP="004A624E">
      <w:pPr>
        <w:jc w:val="center"/>
        <w:rPr>
          <w:rFonts w:ascii="Gotham Book" w:hAnsi="Gotham Book"/>
          <w:b/>
          <w:bCs/>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2D073181" w14:textId="77777777" w:rsidR="001F3894" w:rsidRPr="001F3894" w:rsidRDefault="001F3894" w:rsidP="001F3894">
      <w:pPr>
        <w:pStyle w:val="ListParagraph"/>
        <w:numPr>
          <w:ilvl w:val="0"/>
          <w:numId w:val="15"/>
        </w:numPr>
        <w:rPr>
          <w:rFonts w:ascii="Gotham Book" w:hAnsi="Gotham Book"/>
          <w:sz w:val="24"/>
          <w:szCs w:val="24"/>
        </w:rPr>
      </w:pPr>
      <w:r w:rsidRPr="001F3894">
        <w:rPr>
          <w:rFonts w:ascii="Gotham Book" w:hAnsi="Gotham Book"/>
          <w:sz w:val="24"/>
          <w:szCs w:val="24"/>
        </w:rPr>
        <w:t>[Old Stone Fort at Nacogdoches], photograph, Date Unknown; (</w:t>
      </w:r>
      <w:bookmarkStart w:id="5" w:name="_Hlk187839594"/>
      <w:r w:rsidRPr="001F3894">
        <w:rPr>
          <w:rFonts w:ascii="Gotham Book" w:hAnsi="Gotham Book"/>
          <w:sz w:val="24"/>
          <w:szCs w:val="24"/>
        </w:rPr>
        <w:fldChar w:fldCharType="begin"/>
      </w:r>
      <w:r w:rsidRPr="001F3894">
        <w:rPr>
          <w:rFonts w:ascii="Gotham Book" w:hAnsi="Gotham Book"/>
          <w:sz w:val="24"/>
          <w:szCs w:val="24"/>
        </w:rPr>
        <w:instrText>HYPERLINK "https://texashistory.unt.edu/ark:/67531/metapth38479/"</w:instrText>
      </w:r>
      <w:r w:rsidRPr="001F3894">
        <w:rPr>
          <w:rFonts w:ascii="Gotham Book" w:hAnsi="Gotham Book"/>
          <w:sz w:val="24"/>
          <w:szCs w:val="24"/>
        </w:rPr>
      </w:r>
      <w:r w:rsidRPr="001F3894">
        <w:rPr>
          <w:rFonts w:ascii="Gotham Book" w:hAnsi="Gotham Book"/>
          <w:sz w:val="24"/>
          <w:szCs w:val="24"/>
        </w:rPr>
        <w:fldChar w:fldCharType="separate"/>
      </w:r>
      <w:r w:rsidRPr="001F3894">
        <w:rPr>
          <w:rStyle w:val="Hyperlink"/>
          <w:rFonts w:ascii="Gotham Book" w:hAnsi="Gotham Book"/>
          <w:sz w:val="24"/>
          <w:szCs w:val="24"/>
        </w:rPr>
        <w:t>https://texashistory.unt.edu/ark:/67531/metapth38479/</w:t>
      </w:r>
      <w:r w:rsidRPr="001F3894">
        <w:rPr>
          <w:rFonts w:ascii="Gotham Book" w:hAnsi="Gotham Book"/>
          <w:sz w:val="24"/>
          <w:szCs w:val="24"/>
        </w:rPr>
        <w:fldChar w:fldCharType="end"/>
      </w:r>
      <w:bookmarkEnd w:id="5"/>
      <w:r w:rsidRPr="001F3894">
        <w:rPr>
          <w:rFonts w:ascii="Gotham Book" w:hAnsi="Gotham Book"/>
          <w:sz w:val="24"/>
          <w:szCs w:val="24"/>
        </w:rPr>
        <w:t>: accessed January 9, 2025), University of North Texas Libraries, The Portal to Texas History, </w:t>
      </w:r>
      <w:hyperlink r:id="rId7" w:history="1">
        <w:r w:rsidRPr="001F3894">
          <w:rPr>
            <w:rStyle w:val="Hyperlink"/>
            <w:rFonts w:ascii="Gotham Book" w:hAnsi="Gotham Book"/>
            <w:sz w:val="24"/>
            <w:szCs w:val="24"/>
          </w:rPr>
          <w:t>https://texashistory.unt.edu</w:t>
        </w:r>
      </w:hyperlink>
      <w:r w:rsidRPr="001F3894">
        <w:rPr>
          <w:rFonts w:ascii="Gotham Book" w:hAnsi="Gotham Book"/>
          <w:sz w:val="24"/>
          <w:szCs w:val="24"/>
        </w:rPr>
        <w:t>; crediting University of Texas at Arlington Library.</w:t>
      </w:r>
    </w:p>
    <w:p w14:paraId="37359005" w14:textId="77777777" w:rsidR="001F3894" w:rsidRPr="001F3894" w:rsidRDefault="001F3894" w:rsidP="001F3894">
      <w:pPr>
        <w:pStyle w:val="ListParagraph"/>
        <w:numPr>
          <w:ilvl w:val="0"/>
          <w:numId w:val="15"/>
        </w:numPr>
        <w:rPr>
          <w:rFonts w:ascii="Gotham Book" w:hAnsi="Gotham Book"/>
          <w:sz w:val="24"/>
          <w:szCs w:val="24"/>
        </w:rPr>
      </w:pPr>
      <w:r w:rsidRPr="001F3894">
        <w:rPr>
          <w:rFonts w:ascii="Gotham Book" w:hAnsi="Gotham Book"/>
          <w:sz w:val="24"/>
          <w:szCs w:val="24"/>
        </w:rPr>
        <w:t xml:space="preserve">Portrait of Haden Edwards. Background removed. https://commons.wikimedia.org/wiki/File:Haden_Edwards.jpg </w:t>
      </w:r>
    </w:p>
    <w:p w14:paraId="17576413" w14:textId="77777777" w:rsidR="001F3894" w:rsidRPr="001F3894" w:rsidRDefault="001F3894" w:rsidP="001F3894">
      <w:pPr>
        <w:pStyle w:val="ListParagraph"/>
        <w:numPr>
          <w:ilvl w:val="0"/>
          <w:numId w:val="15"/>
        </w:numPr>
        <w:rPr>
          <w:rFonts w:ascii="Gotham Book" w:hAnsi="Gotham Book"/>
          <w:sz w:val="24"/>
          <w:szCs w:val="24"/>
        </w:rPr>
      </w:pPr>
      <w:bookmarkStart w:id="6" w:name="_Hlk187839611"/>
      <w:r w:rsidRPr="00355C83">
        <w:rPr>
          <w:rFonts w:ascii="Gotham Book" w:hAnsi="Gotham Book"/>
          <w:sz w:val="24"/>
          <w:szCs w:val="24"/>
          <w:lang w:val="es-419"/>
        </w:rPr>
        <w:t>Mier y Terán</w:t>
      </w:r>
      <w:bookmarkEnd w:id="6"/>
      <w:r w:rsidRPr="00355C83">
        <w:rPr>
          <w:rFonts w:ascii="Gotham Book" w:hAnsi="Gotham Book"/>
          <w:sz w:val="24"/>
          <w:szCs w:val="24"/>
          <w:lang w:val="es-419"/>
        </w:rPr>
        <w:t>, Manuel de. </w:t>
      </w:r>
      <w:r w:rsidRPr="001F3894">
        <w:rPr>
          <w:rFonts w:ascii="Gotham Book" w:hAnsi="Gotham Book"/>
          <w:sz w:val="24"/>
          <w:szCs w:val="24"/>
        </w:rPr>
        <w:t>Manuel de Mier y Terán, Commandant General, to Ramón Músquiz, Political Chief of Dept. of Béxar], letter, December 18, 1830; (</w:t>
      </w:r>
      <w:bookmarkStart w:id="7" w:name="_Hlk187839630"/>
      <w:r w:rsidRPr="001F3894">
        <w:rPr>
          <w:rFonts w:ascii="Gotham Book" w:hAnsi="Gotham Book"/>
          <w:sz w:val="24"/>
          <w:szCs w:val="24"/>
        </w:rPr>
        <w:fldChar w:fldCharType="begin"/>
      </w:r>
      <w:r w:rsidRPr="001F3894">
        <w:rPr>
          <w:rFonts w:ascii="Gotham Book" w:hAnsi="Gotham Book"/>
          <w:sz w:val="24"/>
          <w:szCs w:val="24"/>
        </w:rPr>
        <w:instrText>HYPERLINK "https://texashistory.unt.edu/ark:/67531/metapth5846/"</w:instrText>
      </w:r>
      <w:r w:rsidRPr="001F3894">
        <w:rPr>
          <w:rFonts w:ascii="Gotham Book" w:hAnsi="Gotham Book"/>
          <w:sz w:val="24"/>
          <w:szCs w:val="24"/>
        </w:rPr>
      </w:r>
      <w:r w:rsidRPr="001F3894">
        <w:rPr>
          <w:rFonts w:ascii="Gotham Book" w:hAnsi="Gotham Book"/>
          <w:sz w:val="24"/>
          <w:szCs w:val="24"/>
        </w:rPr>
        <w:fldChar w:fldCharType="separate"/>
      </w:r>
      <w:r w:rsidRPr="001F3894">
        <w:rPr>
          <w:rStyle w:val="Hyperlink"/>
          <w:rFonts w:ascii="Gotham Book" w:hAnsi="Gotham Book"/>
          <w:sz w:val="24"/>
          <w:szCs w:val="24"/>
        </w:rPr>
        <w:t>https://texashistory.unt.edu/ark:/67531/metapth5846/</w:t>
      </w:r>
      <w:r w:rsidRPr="001F3894">
        <w:rPr>
          <w:rFonts w:ascii="Gotham Book" w:hAnsi="Gotham Book"/>
          <w:sz w:val="24"/>
          <w:szCs w:val="24"/>
        </w:rPr>
        <w:fldChar w:fldCharType="end"/>
      </w:r>
      <w:bookmarkEnd w:id="7"/>
      <w:r w:rsidRPr="001F3894">
        <w:rPr>
          <w:rFonts w:ascii="Gotham Book" w:hAnsi="Gotham Book"/>
          <w:sz w:val="24"/>
          <w:szCs w:val="24"/>
        </w:rPr>
        <w:t>: accessed January 9, 2025), University of North Texas Libraries, The Portal to Texas History, </w:t>
      </w:r>
      <w:hyperlink r:id="rId8" w:history="1">
        <w:r w:rsidRPr="001F3894">
          <w:rPr>
            <w:rStyle w:val="Hyperlink"/>
            <w:rFonts w:ascii="Gotham Book" w:hAnsi="Gotham Book"/>
            <w:sz w:val="24"/>
            <w:szCs w:val="24"/>
          </w:rPr>
          <w:t>https://texashistory.unt.edu</w:t>
        </w:r>
      </w:hyperlink>
      <w:r w:rsidRPr="001F3894">
        <w:rPr>
          <w:rFonts w:ascii="Gotham Book" w:hAnsi="Gotham Book"/>
          <w:sz w:val="24"/>
          <w:szCs w:val="24"/>
        </w:rPr>
        <w:t>; crediting Texas General Land Office.</w:t>
      </w:r>
    </w:p>
    <w:p w14:paraId="3D4A96E0" w14:textId="3AD899BB" w:rsidR="0065438C" w:rsidRPr="001F3894" w:rsidRDefault="001F3894" w:rsidP="001F3894">
      <w:pPr>
        <w:pStyle w:val="ListParagraph"/>
        <w:numPr>
          <w:ilvl w:val="0"/>
          <w:numId w:val="15"/>
        </w:numPr>
        <w:rPr>
          <w:rFonts w:ascii="Gotham Book" w:hAnsi="Gotham Book"/>
          <w:sz w:val="24"/>
          <w:szCs w:val="24"/>
        </w:rPr>
      </w:pPr>
      <w:r w:rsidRPr="001F3894">
        <w:rPr>
          <w:rFonts w:ascii="Gotham Book" w:hAnsi="Gotham Book"/>
          <w:sz w:val="24"/>
          <w:szCs w:val="24"/>
        </w:rPr>
        <w:t>Map of Mexico, 1824 – 1830. Cropped to show only Texas and edited to demonstrate the approximate location of various significant cities and locations within Anglo settlements. Permission is granted to copy, distribute and/or modify this document under the terms of the </w:t>
      </w:r>
      <w:hyperlink r:id="rId9" w:tooltip="w:en:GNU Free Documentation License" w:history="1">
        <w:r w:rsidRPr="001F3894">
          <w:rPr>
            <w:rStyle w:val="Hyperlink"/>
            <w:rFonts w:ascii="Gotham Book" w:hAnsi="Gotham Book"/>
            <w:b/>
            <w:bCs/>
            <w:sz w:val="24"/>
            <w:szCs w:val="24"/>
          </w:rPr>
          <w:t>GNU Free Documentation License</w:t>
        </w:r>
      </w:hyperlink>
      <w:r w:rsidRPr="001F3894">
        <w:rPr>
          <w:rFonts w:ascii="Gotham Book" w:hAnsi="Gotham Book"/>
          <w:sz w:val="24"/>
          <w:szCs w:val="24"/>
        </w:rPr>
        <w:t>, Version 1.2 or any later version published by the </w:t>
      </w:r>
      <w:hyperlink r:id="rId10" w:tooltip="w:en:Free Software Foundation" w:history="1">
        <w:r w:rsidRPr="001F3894">
          <w:rPr>
            <w:rStyle w:val="Hyperlink"/>
            <w:rFonts w:ascii="Gotham Book" w:hAnsi="Gotham Book"/>
            <w:sz w:val="24"/>
            <w:szCs w:val="24"/>
          </w:rPr>
          <w:t>Free Software Foundation</w:t>
        </w:r>
      </w:hyperlink>
      <w:r w:rsidRPr="001F3894">
        <w:rPr>
          <w:rFonts w:ascii="Gotham Book" w:hAnsi="Gotham Book"/>
          <w:sz w:val="24"/>
          <w:szCs w:val="24"/>
        </w:rPr>
        <w:t>; with no Invariant Sections, no Front-Cover Texts, and no Back-Cover Texts. A copy of the license is included in the section entitled </w:t>
      </w:r>
      <w:hyperlink r:id="rId11" w:tooltip="Commons:GNU Free Documentation License, version 1.2" w:history="1">
        <w:r w:rsidRPr="001F3894">
          <w:rPr>
            <w:rStyle w:val="Hyperlink"/>
            <w:rFonts w:ascii="Gotham Book" w:hAnsi="Gotham Book"/>
            <w:i/>
            <w:iCs/>
            <w:sz w:val="24"/>
            <w:szCs w:val="24"/>
          </w:rPr>
          <w:t>GNU Free Documentation License</w:t>
        </w:r>
      </w:hyperlink>
      <w:r w:rsidRPr="001F3894">
        <w:rPr>
          <w:rFonts w:ascii="Gotham Book" w:hAnsi="Gotham Book"/>
          <w:sz w:val="24"/>
          <w:szCs w:val="24"/>
        </w:rPr>
        <w:t>.</w:t>
      </w:r>
    </w:p>
    <w:p w14:paraId="4C7EF47C" w14:textId="2006B2B6" w:rsidR="001F3894" w:rsidRPr="001F3894" w:rsidRDefault="001F3894" w:rsidP="001F3894">
      <w:pPr>
        <w:pStyle w:val="ListParagraph"/>
        <w:numPr>
          <w:ilvl w:val="0"/>
          <w:numId w:val="15"/>
        </w:numPr>
        <w:rPr>
          <w:rFonts w:ascii="Gotham Book" w:hAnsi="Gotham Book"/>
          <w:sz w:val="24"/>
          <w:szCs w:val="24"/>
        </w:rPr>
      </w:pPr>
      <w:r w:rsidRPr="001F3894">
        <w:rPr>
          <w:rFonts w:ascii="Gotham Book" w:hAnsi="Gotham Book"/>
          <w:i/>
          <w:iCs/>
          <w:sz w:val="24"/>
          <w:szCs w:val="24"/>
        </w:rPr>
        <w:t>[Engraving of Stephen F. Austin]</w:t>
      </w:r>
      <w:r w:rsidRPr="001F3894">
        <w:rPr>
          <w:rFonts w:ascii="Gotham Book" w:hAnsi="Gotham Book"/>
          <w:sz w:val="24"/>
          <w:szCs w:val="24"/>
        </w:rPr>
        <w:t xml:space="preserve">. December 16, 1836. Artwork. University of North Texas Libraries, The Portal to Texas History; crediting Palestine Public Library. </w:t>
      </w:r>
      <w:bookmarkStart w:id="8" w:name="_Hlk187839657"/>
      <w:r w:rsidRPr="001F3894">
        <w:rPr>
          <w:rFonts w:ascii="Gotham Book" w:hAnsi="Gotham Book"/>
          <w:sz w:val="24"/>
          <w:szCs w:val="24"/>
        </w:rPr>
        <w:fldChar w:fldCharType="begin"/>
      </w:r>
      <w:r w:rsidRPr="001F3894">
        <w:rPr>
          <w:rFonts w:ascii="Gotham Book" w:hAnsi="Gotham Book"/>
          <w:sz w:val="24"/>
          <w:szCs w:val="24"/>
        </w:rPr>
        <w:instrText>HYPERLINK "https://texashistory.unt.edu/ark:/67531/metapth11276/"</w:instrText>
      </w:r>
      <w:r w:rsidRPr="001F3894">
        <w:rPr>
          <w:rFonts w:ascii="Gotham Book" w:hAnsi="Gotham Book"/>
          <w:sz w:val="24"/>
          <w:szCs w:val="24"/>
        </w:rPr>
      </w:r>
      <w:r w:rsidRPr="001F3894">
        <w:rPr>
          <w:rFonts w:ascii="Gotham Book" w:hAnsi="Gotham Book"/>
          <w:sz w:val="24"/>
          <w:szCs w:val="24"/>
        </w:rPr>
        <w:fldChar w:fldCharType="separate"/>
      </w:r>
      <w:r w:rsidRPr="001F3894">
        <w:rPr>
          <w:rStyle w:val="Hyperlink"/>
          <w:rFonts w:ascii="Gotham Book" w:hAnsi="Gotham Book"/>
          <w:sz w:val="24"/>
          <w:szCs w:val="24"/>
        </w:rPr>
        <w:t>https://texashistory.unt.edu/ark:/67531/metapth11276/</w:t>
      </w:r>
      <w:r w:rsidRPr="001F3894">
        <w:rPr>
          <w:rFonts w:ascii="Gotham Book" w:hAnsi="Gotham Book"/>
          <w:sz w:val="24"/>
          <w:szCs w:val="24"/>
        </w:rPr>
        <w:fldChar w:fldCharType="end"/>
      </w:r>
      <w:bookmarkEnd w:id="8"/>
      <w:r w:rsidRPr="001F3894">
        <w:rPr>
          <w:rFonts w:ascii="Gotham Book" w:hAnsi="Gotham Book"/>
          <w:sz w:val="24"/>
          <w:szCs w:val="24"/>
        </w:rPr>
        <w:t>.</w:t>
      </w:r>
    </w:p>
    <w:sectPr w:rsidR="001F3894" w:rsidRPr="001F389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A940A" w14:textId="77777777" w:rsidR="004A624E" w:rsidRDefault="004A624E" w:rsidP="004A624E">
      <w:pPr>
        <w:spacing w:after="0" w:line="240" w:lineRule="auto"/>
      </w:pPr>
      <w:r>
        <w:separator/>
      </w:r>
    </w:p>
  </w:endnote>
  <w:endnote w:type="continuationSeparator" w:id="0">
    <w:p w14:paraId="6835D0A6" w14:textId="77777777" w:rsidR="004A624E" w:rsidRDefault="004A624E" w:rsidP="004A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343563"/>
      <w:docPartObj>
        <w:docPartGallery w:val="Page Numbers (Bottom of Page)"/>
        <w:docPartUnique/>
      </w:docPartObj>
    </w:sdtPr>
    <w:sdtEndPr>
      <w:rPr>
        <w:noProof/>
      </w:rPr>
    </w:sdtEndPr>
    <w:sdtContent>
      <w:p w14:paraId="26BFBA46" w14:textId="2386F3A3" w:rsidR="004A624E" w:rsidRDefault="004A624E">
        <w:pPr>
          <w:pStyle w:val="Footer"/>
          <w:jc w:val="center"/>
        </w:pPr>
        <w:r w:rsidRPr="00093A67">
          <w:rPr>
            <w:noProof/>
            <w:sz w:val="18"/>
            <w:szCs w:val="18"/>
          </w:rPr>
          <w:drawing>
            <wp:anchor distT="0" distB="0" distL="114300" distR="114300" simplePos="0" relativeHeight="251659264" behindDoc="1" locked="0" layoutInCell="1" allowOverlap="1" wp14:anchorId="1ED4A75E" wp14:editId="5FA37A8F">
              <wp:simplePos x="0" y="0"/>
              <wp:positionH relativeFrom="margin">
                <wp:align>right</wp:align>
              </wp:positionH>
              <wp:positionV relativeFrom="paragraph">
                <wp:posOffset>-154803</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68FD48B3" w14:textId="1CCEEE4E" w:rsidR="004A624E" w:rsidRDefault="004A6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D48C" w14:textId="77777777" w:rsidR="004A624E" w:rsidRDefault="004A624E" w:rsidP="004A624E">
      <w:pPr>
        <w:spacing w:after="0" w:line="240" w:lineRule="auto"/>
      </w:pPr>
      <w:r>
        <w:separator/>
      </w:r>
    </w:p>
  </w:footnote>
  <w:footnote w:type="continuationSeparator" w:id="0">
    <w:p w14:paraId="78554488" w14:textId="77777777" w:rsidR="004A624E" w:rsidRDefault="004A624E" w:rsidP="004A6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F2E1" w14:textId="09B36E77" w:rsidR="004A624E" w:rsidRDefault="004A624E">
    <w:pPr>
      <w:pStyle w:val="Header"/>
    </w:pPr>
    <w:r w:rsidRPr="008D7B34">
      <w:rPr>
        <w:rFonts w:ascii="Gotham Book" w:hAnsi="Gotham Book"/>
        <w:noProof/>
      </w:rPr>
      <w:drawing>
        <wp:anchor distT="0" distB="0" distL="114300" distR="114300" simplePos="0" relativeHeight="251660288" behindDoc="1" locked="0" layoutInCell="1" allowOverlap="1" wp14:anchorId="43A18680" wp14:editId="2907F666">
          <wp:simplePos x="0" y="0"/>
          <wp:positionH relativeFrom="column">
            <wp:posOffset>0</wp:posOffset>
          </wp:positionH>
          <wp:positionV relativeFrom="paragraph">
            <wp:posOffset>-248920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53C30" w14:textId="77777777" w:rsidR="004A624E" w:rsidRDefault="004A6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F29"/>
    <w:multiLevelType w:val="hybridMultilevel"/>
    <w:tmpl w:val="D438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37EAA"/>
    <w:multiLevelType w:val="hybridMultilevel"/>
    <w:tmpl w:val="2786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C5E19"/>
    <w:multiLevelType w:val="hybridMultilevel"/>
    <w:tmpl w:val="55B8D786"/>
    <w:lvl w:ilvl="0" w:tplc="D13C765A">
      <w:start w:val="1"/>
      <w:numFmt w:val="decimal"/>
      <w:lvlText w:val="%1."/>
      <w:lvlJc w:val="left"/>
      <w:pPr>
        <w:tabs>
          <w:tab w:val="num" w:pos="720"/>
        </w:tabs>
        <w:ind w:left="720" w:hanging="360"/>
      </w:pPr>
    </w:lvl>
    <w:lvl w:ilvl="1" w:tplc="D218756C" w:tentative="1">
      <w:start w:val="1"/>
      <w:numFmt w:val="decimal"/>
      <w:lvlText w:val="%2."/>
      <w:lvlJc w:val="left"/>
      <w:pPr>
        <w:tabs>
          <w:tab w:val="num" w:pos="1440"/>
        </w:tabs>
        <w:ind w:left="1440" w:hanging="360"/>
      </w:pPr>
    </w:lvl>
    <w:lvl w:ilvl="2" w:tplc="48FA1B9A" w:tentative="1">
      <w:start w:val="1"/>
      <w:numFmt w:val="decimal"/>
      <w:lvlText w:val="%3."/>
      <w:lvlJc w:val="left"/>
      <w:pPr>
        <w:tabs>
          <w:tab w:val="num" w:pos="2160"/>
        </w:tabs>
        <w:ind w:left="2160" w:hanging="360"/>
      </w:pPr>
    </w:lvl>
    <w:lvl w:ilvl="3" w:tplc="644C548A" w:tentative="1">
      <w:start w:val="1"/>
      <w:numFmt w:val="decimal"/>
      <w:lvlText w:val="%4."/>
      <w:lvlJc w:val="left"/>
      <w:pPr>
        <w:tabs>
          <w:tab w:val="num" w:pos="2880"/>
        </w:tabs>
        <w:ind w:left="2880" w:hanging="360"/>
      </w:pPr>
    </w:lvl>
    <w:lvl w:ilvl="4" w:tplc="9928269C" w:tentative="1">
      <w:start w:val="1"/>
      <w:numFmt w:val="decimal"/>
      <w:lvlText w:val="%5."/>
      <w:lvlJc w:val="left"/>
      <w:pPr>
        <w:tabs>
          <w:tab w:val="num" w:pos="3600"/>
        </w:tabs>
        <w:ind w:left="3600" w:hanging="360"/>
      </w:pPr>
    </w:lvl>
    <w:lvl w:ilvl="5" w:tplc="75280FB2" w:tentative="1">
      <w:start w:val="1"/>
      <w:numFmt w:val="decimal"/>
      <w:lvlText w:val="%6."/>
      <w:lvlJc w:val="left"/>
      <w:pPr>
        <w:tabs>
          <w:tab w:val="num" w:pos="4320"/>
        </w:tabs>
        <w:ind w:left="4320" w:hanging="360"/>
      </w:pPr>
    </w:lvl>
    <w:lvl w:ilvl="6" w:tplc="931C05A8" w:tentative="1">
      <w:start w:val="1"/>
      <w:numFmt w:val="decimal"/>
      <w:lvlText w:val="%7."/>
      <w:lvlJc w:val="left"/>
      <w:pPr>
        <w:tabs>
          <w:tab w:val="num" w:pos="5040"/>
        </w:tabs>
        <w:ind w:left="5040" w:hanging="360"/>
      </w:pPr>
    </w:lvl>
    <w:lvl w:ilvl="7" w:tplc="4740E750" w:tentative="1">
      <w:start w:val="1"/>
      <w:numFmt w:val="decimal"/>
      <w:lvlText w:val="%8."/>
      <w:lvlJc w:val="left"/>
      <w:pPr>
        <w:tabs>
          <w:tab w:val="num" w:pos="5760"/>
        </w:tabs>
        <w:ind w:left="5760" w:hanging="360"/>
      </w:pPr>
    </w:lvl>
    <w:lvl w:ilvl="8" w:tplc="8D7AF5DC" w:tentative="1">
      <w:start w:val="1"/>
      <w:numFmt w:val="decimal"/>
      <w:lvlText w:val="%9."/>
      <w:lvlJc w:val="left"/>
      <w:pPr>
        <w:tabs>
          <w:tab w:val="num" w:pos="6480"/>
        </w:tabs>
        <w:ind w:left="6480" w:hanging="360"/>
      </w:pPr>
    </w:lvl>
  </w:abstractNum>
  <w:abstractNum w:abstractNumId="3" w15:restartNumberingAfterBreak="0">
    <w:nsid w:val="13223576"/>
    <w:multiLevelType w:val="hybridMultilevel"/>
    <w:tmpl w:val="63B0DB0C"/>
    <w:lvl w:ilvl="0" w:tplc="4094DFC4">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E35F4"/>
    <w:multiLevelType w:val="hybridMultilevel"/>
    <w:tmpl w:val="3A66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D0380"/>
    <w:multiLevelType w:val="hybridMultilevel"/>
    <w:tmpl w:val="9624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104859"/>
    <w:multiLevelType w:val="hybridMultilevel"/>
    <w:tmpl w:val="0290AF7A"/>
    <w:lvl w:ilvl="0" w:tplc="4094DFC4">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A61642"/>
    <w:multiLevelType w:val="hybridMultilevel"/>
    <w:tmpl w:val="478E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8C6BEE"/>
    <w:multiLevelType w:val="hybridMultilevel"/>
    <w:tmpl w:val="948E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010A51"/>
    <w:multiLevelType w:val="hybridMultilevel"/>
    <w:tmpl w:val="0848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E11B59"/>
    <w:multiLevelType w:val="hybridMultilevel"/>
    <w:tmpl w:val="C998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4"/>
  </w:num>
  <w:num w:numId="2" w16cid:durableId="1394768724">
    <w:abstractNumId w:val="5"/>
  </w:num>
  <w:num w:numId="3" w16cid:durableId="1452819361">
    <w:abstractNumId w:val="8"/>
  </w:num>
  <w:num w:numId="4" w16cid:durableId="1678657642">
    <w:abstractNumId w:val="13"/>
  </w:num>
  <w:num w:numId="5" w16cid:durableId="1505976721">
    <w:abstractNumId w:val="2"/>
  </w:num>
  <w:num w:numId="6" w16cid:durableId="1054810545">
    <w:abstractNumId w:val="6"/>
  </w:num>
  <w:num w:numId="7" w16cid:durableId="284623191">
    <w:abstractNumId w:val="9"/>
  </w:num>
  <w:num w:numId="8" w16cid:durableId="1989362806">
    <w:abstractNumId w:val="3"/>
  </w:num>
  <w:num w:numId="9" w16cid:durableId="1119764813">
    <w:abstractNumId w:val="11"/>
  </w:num>
  <w:num w:numId="10" w16cid:durableId="1868789237">
    <w:abstractNumId w:val="0"/>
  </w:num>
  <w:num w:numId="11" w16cid:durableId="1001541490">
    <w:abstractNumId w:val="1"/>
  </w:num>
  <w:num w:numId="12" w16cid:durableId="1083648998">
    <w:abstractNumId w:val="10"/>
  </w:num>
  <w:num w:numId="13" w16cid:durableId="280233284">
    <w:abstractNumId w:val="7"/>
  </w:num>
  <w:num w:numId="14" w16cid:durableId="1581870040">
    <w:abstractNumId w:val="14"/>
  </w:num>
  <w:num w:numId="15" w16cid:durableId="1631941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71"/>
    <w:rsid w:val="00090831"/>
    <w:rsid w:val="001B4B2F"/>
    <w:rsid w:val="001F3894"/>
    <w:rsid w:val="0032694C"/>
    <w:rsid w:val="00355C83"/>
    <w:rsid w:val="003D788B"/>
    <w:rsid w:val="004A624E"/>
    <w:rsid w:val="00557C56"/>
    <w:rsid w:val="005B7AC6"/>
    <w:rsid w:val="0065438C"/>
    <w:rsid w:val="00692448"/>
    <w:rsid w:val="008A7A71"/>
    <w:rsid w:val="00963012"/>
    <w:rsid w:val="009B7378"/>
    <w:rsid w:val="009F7AC1"/>
    <w:rsid w:val="00AE03EB"/>
    <w:rsid w:val="00BD507D"/>
    <w:rsid w:val="00E8617E"/>
    <w:rsid w:val="00F0566A"/>
    <w:rsid w:val="00F40443"/>
    <w:rsid w:val="00F43072"/>
    <w:rsid w:val="00F6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4A662"/>
  <w15:chartTrackingRefBased/>
  <w15:docId w15:val="{BD352D65-F682-4AB8-957C-B94FDFF9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24E"/>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8A7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A7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A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A7A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A7A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7A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7A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7A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7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A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7A71"/>
    <w:pPr>
      <w:spacing w:before="160"/>
      <w:jc w:val="center"/>
    </w:pPr>
    <w:rPr>
      <w:i/>
      <w:iCs/>
      <w:color w:val="404040" w:themeColor="text1" w:themeTint="BF"/>
    </w:rPr>
  </w:style>
  <w:style w:type="character" w:customStyle="1" w:styleId="QuoteChar">
    <w:name w:val="Quote Char"/>
    <w:basedOn w:val="DefaultParagraphFont"/>
    <w:link w:val="Quote"/>
    <w:uiPriority w:val="29"/>
    <w:rsid w:val="008A7A71"/>
    <w:rPr>
      <w:i/>
      <w:iCs/>
      <w:color w:val="404040" w:themeColor="text1" w:themeTint="BF"/>
    </w:rPr>
  </w:style>
  <w:style w:type="paragraph" w:styleId="ListParagraph">
    <w:name w:val="List Paragraph"/>
    <w:basedOn w:val="Normal"/>
    <w:uiPriority w:val="34"/>
    <w:qFormat/>
    <w:rsid w:val="008A7A71"/>
    <w:pPr>
      <w:ind w:left="720"/>
      <w:contextualSpacing/>
    </w:pPr>
  </w:style>
  <w:style w:type="character" w:styleId="IntenseEmphasis">
    <w:name w:val="Intense Emphasis"/>
    <w:basedOn w:val="DefaultParagraphFont"/>
    <w:uiPriority w:val="21"/>
    <w:qFormat/>
    <w:rsid w:val="008A7A71"/>
    <w:rPr>
      <w:i/>
      <w:iCs/>
      <w:color w:val="0F4761" w:themeColor="accent1" w:themeShade="BF"/>
    </w:rPr>
  </w:style>
  <w:style w:type="paragraph" w:styleId="IntenseQuote">
    <w:name w:val="Intense Quote"/>
    <w:basedOn w:val="Normal"/>
    <w:next w:val="Normal"/>
    <w:link w:val="IntenseQuoteChar"/>
    <w:uiPriority w:val="30"/>
    <w:qFormat/>
    <w:rsid w:val="008A7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A71"/>
    <w:rPr>
      <w:i/>
      <w:iCs/>
      <w:color w:val="0F4761" w:themeColor="accent1" w:themeShade="BF"/>
    </w:rPr>
  </w:style>
  <w:style w:type="character" w:styleId="IntenseReference">
    <w:name w:val="Intense Reference"/>
    <w:basedOn w:val="DefaultParagraphFont"/>
    <w:uiPriority w:val="32"/>
    <w:qFormat/>
    <w:rsid w:val="008A7A71"/>
    <w:rPr>
      <w:b/>
      <w:bCs/>
      <w:smallCaps/>
      <w:color w:val="0F4761" w:themeColor="accent1" w:themeShade="BF"/>
      <w:spacing w:val="5"/>
    </w:rPr>
  </w:style>
  <w:style w:type="table" w:styleId="TableGrid">
    <w:name w:val="Table Grid"/>
    <w:basedOn w:val="TableNormal"/>
    <w:uiPriority w:val="39"/>
    <w:rsid w:val="004A624E"/>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6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24E"/>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4A6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24E"/>
    <w:rPr>
      <w:rFonts w:asciiTheme="minorHAnsi" w:eastAsiaTheme="minorEastAsia" w:hAnsiTheme="minorHAnsi"/>
      <w:kern w:val="0"/>
      <w:sz w:val="20"/>
      <w:szCs w:val="20"/>
      <w14:ligatures w14:val="none"/>
    </w:rPr>
  </w:style>
  <w:style w:type="character" w:styleId="Strong">
    <w:name w:val="Strong"/>
    <w:basedOn w:val="DefaultParagraphFont"/>
    <w:uiPriority w:val="22"/>
    <w:qFormat/>
    <w:rsid w:val="004A624E"/>
    <w:rPr>
      <w:b/>
      <w:bCs/>
    </w:rPr>
  </w:style>
  <w:style w:type="character" w:styleId="Hyperlink">
    <w:name w:val="Hyperlink"/>
    <w:basedOn w:val="DefaultParagraphFont"/>
    <w:uiPriority w:val="99"/>
    <w:unhideWhenUsed/>
    <w:rsid w:val="001F3894"/>
    <w:rPr>
      <w:color w:val="467886" w:themeColor="hyperlink"/>
      <w:u w:val="single"/>
    </w:rPr>
  </w:style>
  <w:style w:type="character" w:styleId="UnresolvedMention">
    <w:name w:val="Unresolved Mention"/>
    <w:basedOn w:val="DefaultParagraphFont"/>
    <w:uiPriority w:val="99"/>
    <w:semiHidden/>
    <w:unhideWhenUsed/>
    <w:rsid w:val="001F3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2364">
      <w:bodyDiv w:val="1"/>
      <w:marLeft w:val="0"/>
      <w:marRight w:val="0"/>
      <w:marTop w:val="0"/>
      <w:marBottom w:val="0"/>
      <w:divBdr>
        <w:top w:val="none" w:sz="0" w:space="0" w:color="auto"/>
        <w:left w:val="none" w:sz="0" w:space="0" w:color="auto"/>
        <w:bottom w:val="none" w:sz="0" w:space="0" w:color="auto"/>
        <w:right w:val="none" w:sz="0" w:space="0" w:color="auto"/>
      </w:divBdr>
      <w:divsChild>
        <w:div w:id="1944339551">
          <w:marLeft w:val="1440"/>
          <w:marRight w:val="0"/>
          <w:marTop w:val="0"/>
          <w:marBottom w:val="0"/>
          <w:divBdr>
            <w:top w:val="none" w:sz="0" w:space="0" w:color="auto"/>
            <w:left w:val="none" w:sz="0" w:space="0" w:color="auto"/>
            <w:bottom w:val="none" w:sz="0" w:space="0" w:color="auto"/>
            <w:right w:val="none" w:sz="0" w:space="0" w:color="auto"/>
          </w:divBdr>
        </w:div>
        <w:div w:id="320158260">
          <w:marLeft w:val="1440"/>
          <w:marRight w:val="0"/>
          <w:marTop w:val="0"/>
          <w:marBottom w:val="0"/>
          <w:divBdr>
            <w:top w:val="none" w:sz="0" w:space="0" w:color="auto"/>
            <w:left w:val="none" w:sz="0" w:space="0" w:color="auto"/>
            <w:bottom w:val="none" w:sz="0" w:space="0" w:color="auto"/>
            <w:right w:val="none" w:sz="0" w:space="0" w:color="auto"/>
          </w:divBdr>
        </w:div>
      </w:divsChild>
    </w:div>
    <w:div w:id="103816572">
      <w:bodyDiv w:val="1"/>
      <w:marLeft w:val="0"/>
      <w:marRight w:val="0"/>
      <w:marTop w:val="0"/>
      <w:marBottom w:val="0"/>
      <w:divBdr>
        <w:top w:val="none" w:sz="0" w:space="0" w:color="auto"/>
        <w:left w:val="none" w:sz="0" w:space="0" w:color="auto"/>
        <w:bottom w:val="none" w:sz="0" w:space="0" w:color="auto"/>
        <w:right w:val="none" w:sz="0" w:space="0" w:color="auto"/>
      </w:divBdr>
    </w:div>
    <w:div w:id="342246994">
      <w:bodyDiv w:val="1"/>
      <w:marLeft w:val="0"/>
      <w:marRight w:val="0"/>
      <w:marTop w:val="0"/>
      <w:marBottom w:val="0"/>
      <w:divBdr>
        <w:top w:val="none" w:sz="0" w:space="0" w:color="auto"/>
        <w:left w:val="none" w:sz="0" w:space="0" w:color="auto"/>
        <w:bottom w:val="none" w:sz="0" w:space="0" w:color="auto"/>
        <w:right w:val="none" w:sz="0" w:space="0" w:color="auto"/>
      </w:divBdr>
    </w:div>
    <w:div w:id="1566843312">
      <w:bodyDiv w:val="1"/>
      <w:marLeft w:val="0"/>
      <w:marRight w:val="0"/>
      <w:marTop w:val="0"/>
      <w:marBottom w:val="0"/>
      <w:divBdr>
        <w:top w:val="none" w:sz="0" w:space="0" w:color="auto"/>
        <w:left w:val="none" w:sz="0" w:space="0" w:color="auto"/>
        <w:bottom w:val="none" w:sz="0" w:space="0" w:color="auto"/>
        <w:right w:val="none" w:sz="0" w:space="0" w:color="auto"/>
      </w:divBdr>
    </w:div>
    <w:div w:id="190398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exashistory.unt.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wiki/Commons:GNU_Free_Documentation_License,_version_1.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en:Free_Software_Foundation" TargetMode="External"/><Relationship Id="rId4" Type="http://schemas.openxmlformats.org/officeDocument/2006/relationships/webSettings" Target="webSettings.xml"/><Relationship Id="rId9" Type="http://schemas.openxmlformats.org/officeDocument/2006/relationships/hyperlink" Target="https://en.wikipedia.org/wiki/en:GNU_Free_Documentation_Licen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6</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2025-01-15T18:08:00Z</dcterms:created>
  <dcterms:modified xsi:type="dcterms:W3CDTF">2025-03-05T17:40:00Z</dcterms:modified>
</cp:coreProperties>
</file>