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239D" w14:textId="58A2B4D4" w:rsidR="002C4EDA" w:rsidRPr="0052602F" w:rsidRDefault="002C4EDA" w:rsidP="002C4EDA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0CC60E0C" wp14:editId="16DD11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6004">
        <w:rPr>
          <w:rFonts w:ascii="Gotham Book" w:hAnsi="Gotham Book"/>
        </w:rPr>
        <w:t xml:space="preserve">                                            </w:t>
      </w:r>
      <w:r w:rsidRPr="00076004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>
        <w:rPr>
          <w:rFonts w:ascii="Gotham Book" w:hAnsi="Gotham Book"/>
          <w:sz w:val="46"/>
          <w:szCs w:val="144"/>
        </w:rPr>
        <w:t>Texas Hoy</w:t>
      </w:r>
    </w:p>
    <w:p w14:paraId="75811BB1" w14:textId="2EC0F0F3" w:rsidR="002C4EDA" w:rsidRPr="00076004" w:rsidRDefault="001F0A80" w:rsidP="001F0A80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2C4EDA" w:rsidRPr="00340E91" w14:paraId="670BD048" w14:textId="77777777" w:rsidTr="00C14CD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105773" w14:textId="77777777" w:rsidR="002C4EDA" w:rsidRPr="00340E91" w:rsidRDefault="002C4EDA" w:rsidP="00C14CD1">
            <w:r w:rsidRPr="00340E91"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7C440" w14:textId="77777777" w:rsidR="002C4EDA" w:rsidRPr="00340E91" w:rsidRDefault="002C4EDA" w:rsidP="00C14CD1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308D43" w14:textId="77777777" w:rsidR="002C4EDA" w:rsidRPr="00340E91" w:rsidRDefault="002C4EDA" w:rsidP="00C14CD1">
            <w:r w:rsidRPr="00340E91"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A81E28" w14:textId="77777777" w:rsidR="002C4EDA" w:rsidRPr="00340E91" w:rsidRDefault="002C4EDA" w:rsidP="00C14CD1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999DB3" w14:textId="77777777" w:rsidR="002C4EDA" w:rsidRPr="00340E91" w:rsidRDefault="002C4EDA" w:rsidP="00C14CD1">
            <w:r w:rsidRPr="00340E91"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F43CC91" w14:textId="77777777" w:rsidR="002C4EDA" w:rsidRPr="00340E91" w:rsidRDefault="002C4EDA" w:rsidP="00C14CD1"/>
        </w:tc>
      </w:tr>
    </w:tbl>
    <w:p w14:paraId="4A71DA07" w14:textId="4C8D4848" w:rsidR="002C4EDA" w:rsidRDefault="002C4EDA" w:rsidP="002C4EDA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C73106" w14:paraId="4444EAA5" w14:textId="77777777" w:rsidTr="00C73106">
        <w:tc>
          <w:tcPr>
            <w:tcW w:w="6115" w:type="dxa"/>
          </w:tcPr>
          <w:p w14:paraId="795D0A03" w14:textId="77777777" w:rsidR="00C73106" w:rsidRDefault="00C73106" w:rsidP="00C7310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 tus propias palabras, explica lo que nos muestra este gráfico.</w:t>
            </w:r>
          </w:p>
          <w:p w14:paraId="69F909FB" w14:textId="77777777" w:rsidR="00C73106" w:rsidRPr="002A4A76" w:rsidRDefault="00C73106" w:rsidP="00C73106">
            <w:pPr>
              <w:rPr>
                <w:sz w:val="36"/>
                <w:szCs w:val="36"/>
              </w:rPr>
            </w:pPr>
          </w:p>
          <w:p w14:paraId="7E55F2C4" w14:textId="77777777" w:rsidR="00C73106" w:rsidRDefault="00C73106" w:rsidP="00C7310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¿Qué es una cosa que observas sobre la información de este gráfico?</w:t>
            </w:r>
          </w:p>
          <w:p w14:paraId="5F373E69" w14:textId="77777777" w:rsidR="00C73106" w:rsidRPr="00C73106" w:rsidRDefault="00C73106" w:rsidP="00C73106">
            <w:pPr>
              <w:pStyle w:val="ListParagraph"/>
            </w:pPr>
          </w:p>
          <w:p w14:paraId="450B57E1" w14:textId="77777777" w:rsidR="00C73106" w:rsidRPr="002A4A76" w:rsidRDefault="00C73106" w:rsidP="00C73106">
            <w:pPr>
              <w:rPr>
                <w:sz w:val="28"/>
                <w:szCs w:val="28"/>
              </w:rPr>
            </w:pPr>
          </w:p>
          <w:p w14:paraId="35572469" w14:textId="72703F51" w:rsidR="00C73106" w:rsidRPr="00C73106" w:rsidRDefault="00C73106" w:rsidP="00C7310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¿Cuál es una pregunta que tienes sobre este gráfico? </w:t>
            </w:r>
          </w:p>
        </w:tc>
        <w:tc>
          <w:tcPr>
            <w:tcW w:w="4675" w:type="dxa"/>
          </w:tcPr>
          <w:p w14:paraId="1D1B0B76" w14:textId="77777777" w:rsidR="00C73106" w:rsidRPr="00C73106" w:rsidRDefault="00C73106" w:rsidP="00C73106">
            <w:pPr>
              <w:rPr>
                <w:rFonts w:ascii="Gotham Book" w:hAnsi="Gotham Book"/>
                <w:sz w:val="8"/>
                <w:szCs w:val="2"/>
              </w:rPr>
            </w:pPr>
          </w:p>
          <w:p w14:paraId="6B1CA077" w14:textId="1B3FD9A1" w:rsidR="00C73106" w:rsidRPr="00C73106" w:rsidRDefault="00C73106" w:rsidP="002C4EDA">
            <w:r>
              <w:rPr>
                <w:noProof/>
                <w14:ligatures w14:val="standardContextual"/>
              </w:rPr>
              <w:drawing>
                <wp:inline distT="0" distB="0" distL="0" distR="0" wp14:anchorId="615E5CC0" wp14:editId="5E215E94">
                  <wp:extent cx="2753360" cy="2367915"/>
                  <wp:effectExtent l="0" t="0" r="8890" b="13335"/>
                  <wp:docPr id="1194582519" name="Chart 3" descr="Un gráfico titulado &quot;Principales productos agrícolas en Texas: beneficios por miles de millones de dólares&quot;&#10;&#10;Ganado = 12.300 millones de dólares&#10;Engordes = 2.900 millones de dólares&#10;Algodón = 2.600 millones de dólares&#10;Leche = 2.100 millones de dólares&#10;Maíz = 1.200 millones de dólar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671D186B" w14:textId="77777777" w:rsidR="00C73106" w:rsidRDefault="00C73106" w:rsidP="002C4EDA">
      <w:pPr>
        <w:rPr>
          <w:rFonts w:ascii="Gotham Book" w:hAnsi="Gotham Book"/>
          <w:sz w:val="24"/>
          <w:szCs w:val="24"/>
        </w:rPr>
      </w:pPr>
    </w:p>
    <w:p w14:paraId="5963A533" w14:textId="77777777" w:rsidR="00C73106" w:rsidRDefault="00C73106" w:rsidP="002C4EDA">
      <w:pPr>
        <w:rPr>
          <w:rFonts w:ascii="Gotham Book" w:hAnsi="Gotham Book"/>
          <w:sz w:val="24"/>
          <w:szCs w:val="24"/>
        </w:rPr>
      </w:pPr>
    </w:p>
    <w:p w14:paraId="04D8E613" w14:textId="77777777" w:rsidR="0081362A" w:rsidRDefault="0081362A" w:rsidP="002C4EDA">
      <w:pPr>
        <w:rPr>
          <w:rFonts w:ascii="Gotham Book" w:hAnsi="Gotham Book"/>
          <w:sz w:val="24"/>
          <w:szCs w:val="24"/>
        </w:rPr>
      </w:pPr>
    </w:p>
    <w:p w14:paraId="1CAC7152" w14:textId="43697947" w:rsidR="0081362A" w:rsidRPr="0052602F" w:rsidRDefault="0081362A" w:rsidP="0081362A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598D5D95" wp14:editId="39FC8220">
            <wp:simplePos x="0" y="0"/>
            <wp:positionH relativeFrom="column">
              <wp:posOffset>0</wp:posOffset>
            </wp:positionH>
            <wp:positionV relativeFrom="paragraph">
              <wp:posOffset>-555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9108488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488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6004">
        <w:rPr>
          <w:rFonts w:ascii="Gotham Book" w:hAnsi="Gotham Book"/>
        </w:rPr>
        <w:t xml:space="preserve">                                                    </w:t>
      </w:r>
      <w:r w:rsidRPr="00076004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>
        <w:rPr>
          <w:rFonts w:ascii="Gotham Book" w:hAnsi="Gotham Book"/>
          <w:sz w:val="46"/>
          <w:szCs w:val="144"/>
        </w:rPr>
        <w:t>Texas Hoy</w:t>
      </w:r>
    </w:p>
    <w:p w14:paraId="1E8412F5" w14:textId="77777777" w:rsidR="0081362A" w:rsidRPr="00076004" w:rsidRDefault="0081362A" w:rsidP="0081362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1362A" w:rsidRPr="00340E91" w14:paraId="23101BCF" w14:textId="77777777" w:rsidTr="00C14CD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D8155F" w14:textId="77777777" w:rsidR="0081362A" w:rsidRPr="00340E91" w:rsidRDefault="0081362A" w:rsidP="00C14CD1">
            <w:r w:rsidRPr="00340E91"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8CB95" w14:textId="77777777" w:rsidR="0081362A" w:rsidRPr="00340E91" w:rsidRDefault="0081362A" w:rsidP="00C14CD1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66E673" w14:textId="77777777" w:rsidR="0081362A" w:rsidRPr="00340E91" w:rsidRDefault="0081362A" w:rsidP="00C14CD1">
            <w:r w:rsidRPr="00340E91"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A3A304" w14:textId="77777777" w:rsidR="0081362A" w:rsidRPr="00340E91" w:rsidRDefault="0081362A" w:rsidP="00C14CD1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B1B71B" w14:textId="77777777" w:rsidR="0081362A" w:rsidRPr="00340E91" w:rsidRDefault="0081362A" w:rsidP="00C14CD1">
            <w:r w:rsidRPr="00340E91"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9CA5AF4" w14:textId="77777777" w:rsidR="0081362A" w:rsidRPr="00340E91" w:rsidRDefault="0081362A" w:rsidP="00C14CD1"/>
        </w:tc>
      </w:tr>
    </w:tbl>
    <w:p w14:paraId="3C078D85" w14:textId="77777777" w:rsidR="0081362A" w:rsidRDefault="0081362A" w:rsidP="0081362A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81362A" w14:paraId="7E8758F8" w14:textId="77777777" w:rsidTr="00C14CD1">
        <w:tc>
          <w:tcPr>
            <w:tcW w:w="6115" w:type="dxa"/>
          </w:tcPr>
          <w:p w14:paraId="08CCFF70" w14:textId="77777777" w:rsidR="0081362A" w:rsidRDefault="0081362A" w:rsidP="0081362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 tus propias palabras, explica lo que nos muestra este gráfico.</w:t>
            </w:r>
          </w:p>
          <w:p w14:paraId="3B70102E" w14:textId="77777777" w:rsidR="0081362A" w:rsidRPr="002A4A76" w:rsidRDefault="0081362A" w:rsidP="00C14CD1">
            <w:pPr>
              <w:rPr>
                <w:sz w:val="32"/>
                <w:szCs w:val="32"/>
              </w:rPr>
            </w:pPr>
          </w:p>
          <w:p w14:paraId="552979CB" w14:textId="77777777" w:rsidR="0081362A" w:rsidRDefault="0081362A" w:rsidP="0081362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¿Qué es una cosa que observas sobre la información de este gráfico?</w:t>
            </w:r>
          </w:p>
          <w:p w14:paraId="33324CB8" w14:textId="77777777" w:rsidR="0081362A" w:rsidRPr="00C73106" w:rsidRDefault="0081362A" w:rsidP="00C14CD1">
            <w:pPr>
              <w:pStyle w:val="ListParagraph"/>
            </w:pPr>
          </w:p>
          <w:p w14:paraId="2BB5FEDE" w14:textId="77777777" w:rsidR="0081362A" w:rsidRPr="00C73106" w:rsidRDefault="0081362A" w:rsidP="00C14CD1"/>
          <w:p w14:paraId="7FFF642F" w14:textId="77777777" w:rsidR="0081362A" w:rsidRPr="00C73106" w:rsidRDefault="0081362A" w:rsidP="0081362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¿Cuál es una pregunta que tienes sobre este gráfico? </w:t>
            </w:r>
          </w:p>
        </w:tc>
        <w:tc>
          <w:tcPr>
            <w:tcW w:w="4675" w:type="dxa"/>
          </w:tcPr>
          <w:p w14:paraId="03B3619A" w14:textId="77777777" w:rsidR="0081362A" w:rsidRPr="0081362A" w:rsidRDefault="0081362A" w:rsidP="00C14CD1">
            <w:pPr>
              <w:rPr>
                <w:rFonts w:ascii="Gotham Book" w:hAnsi="Gotham Book"/>
                <w:sz w:val="2"/>
                <w:szCs w:val="2"/>
              </w:rPr>
            </w:pPr>
          </w:p>
          <w:p w14:paraId="13B4149C" w14:textId="17B6ED66" w:rsidR="0081362A" w:rsidRPr="00C73106" w:rsidRDefault="0081362A" w:rsidP="00C14CD1">
            <w:r>
              <w:rPr>
                <w:noProof/>
                <w14:ligatures w14:val="standardContextual"/>
              </w:rPr>
              <w:drawing>
                <wp:inline distT="0" distB="0" distL="0" distR="0" wp14:anchorId="5FBE0D5D" wp14:editId="1913822D">
                  <wp:extent cx="2753360" cy="2367915"/>
                  <wp:effectExtent l="0" t="0" r="8890" b="13335"/>
                  <wp:docPr id="588306705" name="Chart 3" descr="Un gráfico titulado &quot;Principales productos agrícolas en Texas: beneficios por miles de millones de dólares&quot;&#10;&#10;Ganado = 12.300 millones de dólares&#10;Engordes = 2.900 millones de dólares&#10;Algodón = 2.600 millones de dólares&#10;Leche = 2.100 millones de dólares&#10;Maíz = 1.200 millones de dólar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7D474ED3" w14:textId="77777777" w:rsidR="002C4EDA" w:rsidRDefault="002C4EDA" w:rsidP="002C4EDA">
      <w:pPr>
        <w:rPr>
          <w:rFonts w:ascii="Gotham Book" w:hAnsi="Gotham Book"/>
        </w:rPr>
      </w:pPr>
    </w:p>
    <w:p w14:paraId="33A7EFE9" w14:textId="77777777" w:rsidR="002C4EDA" w:rsidRPr="00076004" w:rsidRDefault="002C4EDA" w:rsidP="002C4EDA">
      <w:pPr>
        <w:rPr>
          <w:rFonts w:ascii="Gotham Book" w:hAnsi="Gotham Book"/>
        </w:rPr>
      </w:pPr>
      <w:r w:rsidRPr="00076004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CBA0EE8" wp14:editId="38DAD8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AB8FD7" w14:textId="712B8772" w:rsidR="002C4EDA" w:rsidRPr="0022179D" w:rsidRDefault="0081362A" w:rsidP="002C4EDA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>
        <w:rPr>
          <w:rFonts w:ascii="Gotham Book" w:hAnsi="Gotham Book"/>
          <w:sz w:val="36"/>
          <w:szCs w:val="48"/>
        </w:rPr>
        <w:t>Ticket de salida</w:t>
      </w:r>
      <w:r w:rsidR="002C4EDA" w:rsidRPr="0022179D">
        <w:rPr>
          <w:rFonts w:ascii="Gotham Book" w:hAnsi="Gotham Book"/>
          <w:b/>
          <w:bCs/>
          <w:i/>
          <w:iCs/>
          <w:sz w:val="44"/>
          <w:szCs w:val="40"/>
        </w:rPr>
        <w:t xml:space="preserve"> de Texas Today </w:t>
      </w:r>
    </w:p>
    <w:bookmarkEnd w:id="0"/>
    <w:p w14:paraId="3A58D745" w14:textId="77777777" w:rsidR="002C4EDA" w:rsidRPr="00022C1B" w:rsidRDefault="002C4EDA">
      <w:pPr>
        <w:rPr>
          <w:rFonts w:ascii="Gotham Book" w:hAnsi="Gotham Book"/>
          <w:sz w:val="8"/>
          <w:szCs w:val="2"/>
        </w:rPr>
      </w:pPr>
    </w:p>
    <w:p w14:paraId="44BCFFE0" w14:textId="44A93040" w:rsidR="0081362A" w:rsidRPr="00022C1B" w:rsidRDefault="00022C1B">
      <w:pPr>
        <w:rPr>
          <w:rFonts w:ascii="Gotham Book" w:hAnsi="Gotham Book"/>
          <w:sz w:val="24"/>
          <w:szCs w:val="24"/>
        </w:rPr>
      </w:pPr>
      <w:r w:rsidRPr="00022C1B">
        <w:rPr>
          <w:rFonts w:ascii="Gotham Book" w:hAnsi="Gotham Book"/>
          <w:b/>
          <w:bCs/>
          <w:i/>
          <w:iCs/>
          <w:sz w:val="24"/>
          <w:szCs w:val="24"/>
          <w:u w:val="single"/>
        </w:rPr>
        <w:t>Instrucciones</w:t>
      </w:r>
      <w:r w:rsidRPr="00022C1B">
        <w:rPr>
          <w:rFonts w:ascii="Gotham Book" w:hAnsi="Gotham Book"/>
          <w:sz w:val="24"/>
          <w:szCs w:val="24"/>
        </w:rPr>
        <w:t xml:space="preserve">: Los eventos a continuación están fuera de orden. Pon los eventos en el orden cronológico correcto escribiendo el número de cada evento en el espacio en blanco proporcionado. </w:t>
      </w:r>
    </w:p>
    <w:p w14:paraId="6A43AA01" w14:textId="1196F480" w:rsidR="00022C1B" w:rsidRPr="00022C1B" w:rsidRDefault="00022C1B">
      <w:pPr>
        <w:rPr>
          <w:rFonts w:ascii="Gotham Book" w:hAnsi="Gotham Book"/>
          <w:sz w:val="24"/>
          <w:szCs w:val="24"/>
        </w:rPr>
      </w:pPr>
      <w:r w:rsidRPr="00022C1B">
        <w:rPr>
          <w:rFonts w:ascii="Gotham Book" w:hAnsi="Gotham Book"/>
          <w:b/>
          <w:bCs/>
          <w:i/>
          <w:iCs/>
          <w:sz w:val="24"/>
          <w:szCs w:val="24"/>
          <w:u w:val="single"/>
        </w:rPr>
        <w:t>Por ejemplo</w:t>
      </w:r>
      <w:r w:rsidRPr="00022C1B">
        <w:rPr>
          <w:rFonts w:ascii="Gotham Book" w:hAnsi="Gotham Book"/>
          <w:sz w:val="24"/>
          <w:szCs w:val="24"/>
        </w:rPr>
        <w:t xml:space="preserve">: Escribe "1" junto al primer evento, "2" junto al segundo evento, etc. </w:t>
      </w:r>
    </w:p>
    <w:p w14:paraId="236F9A7E" w14:textId="77777777" w:rsidR="0081362A" w:rsidRPr="00022C1B" w:rsidRDefault="0081362A">
      <w:pPr>
        <w:rPr>
          <w:sz w:val="10"/>
          <w:szCs w:val="10"/>
        </w:rPr>
      </w:pPr>
    </w:p>
    <w:p w14:paraId="47EF0384" w14:textId="5A270373" w:rsidR="00022C1B" w:rsidRDefault="00954A28" w:rsidP="00BF54D7">
      <w:pPr>
        <w:pStyle w:val="ListParagraph"/>
        <w:numPr>
          <w:ilvl w:val="0"/>
          <w:numId w:val="4"/>
        </w:numPr>
        <w:spacing w:line="360" w:lineRule="auto"/>
        <w:ind w:left="1350" w:hanging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Miles de angloamericanos se establecieron en Texas en las décadas de 1820 y 1830 en las colonias de empresarios como Stephen F. Austin.</w:t>
      </w:r>
    </w:p>
    <w:p w14:paraId="551DEA2B" w14:textId="6956A8E3" w:rsidR="00022C1B" w:rsidRDefault="00022C1B" w:rsidP="00BF54D7">
      <w:pPr>
        <w:pStyle w:val="ListParagraph"/>
        <w:numPr>
          <w:ilvl w:val="0"/>
          <w:numId w:val="4"/>
        </w:numPr>
        <w:spacing w:line="360" w:lineRule="auto"/>
        <w:ind w:left="810"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El algodón es el cultivo comercial más rentable de Texas en la actualidad.</w:t>
      </w:r>
    </w:p>
    <w:p w14:paraId="5A91E433" w14:textId="6FAA9613" w:rsidR="00022C1B" w:rsidRDefault="00022C1B" w:rsidP="00BF54D7">
      <w:pPr>
        <w:pStyle w:val="ListParagraph"/>
        <w:numPr>
          <w:ilvl w:val="0"/>
          <w:numId w:val="4"/>
        </w:numPr>
        <w:spacing w:line="360" w:lineRule="auto"/>
        <w:ind w:left="1440" w:hanging="90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La población no indígena de Texas era pequeña y la economía era débil tras la independencia de México de España. </w:t>
      </w:r>
    </w:p>
    <w:p w14:paraId="784D6914" w14:textId="77777777" w:rsidR="00BF54D7" w:rsidRDefault="00022C1B" w:rsidP="00BF54D7">
      <w:pPr>
        <w:pStyle w:val="ListParagraph"/>
        <w:numPr>
          <w:ilvl w:val="0"/>
          <w:numId w:val="4"/>
        </w:numPr>
        <w:spacing w:line="360" w:lineRule="auto"/>
        <w:ind w:left="810"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La economía de Texas creció principalmente gracias a las granjas algodoneras anglosajones que se establecieron bajo</w:t>
      </w:r>
    </w:p>
    <w:p w14:paraId="7C01CBC7" w14:textId="1204B614" w:rsidR="00022C1B" w:rsidRDefault="00BF54D7" w:rsidP="00BF54D7">
      <w:pPr>
        <w:pStyle w:val="ListParagraph"/>
        <w:spacing w:line="36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          the Empresario System.</w:t>
      </w:r>
    </w:p>
    <w:p w14:paraId="3C5FE137" w14:textId="77777777" w:rsidR="002A4A76" w:rsidRDefault="00022C1B" w:rsidP="002A4A76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España, y luego México, invitaron a inmigrantes angloamericanos a establecerse en Texas, con la esperanza de</w:t>
      </w:r>
    </w:p>
    <w:p w14:paraId="004688F1" w14:textId="730C62AC" w:rsidR="00022C1B" w:rsidRDefault="002A4A76" w:rsidP="002A4A76">
      <w:pPr>
        <w:pStyle w:val="ListParagraph"/>
        <w:spacing w:line="36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           aumentar la población y mejorar la economía mediante la agricultura algodonera. </w:t>
      </w:r>
    </w:p>
    <w:p w14:paraId="5FE0BA49" w14:textId="77777777" w:rsidR="00BF54D7" w:rsidRDefault="00BF54D7" w:rsidP="00BF54D7">
      <w:pPr>
        <w:spacing w:line="360" w:lineRule="auto"/>
        <w:rPr>
          <w:rFonts w:ascii="Gotham Book" w:hAnsi="Gotham Book"/>
          <w:sz w:val="24"/>
          <w:szCs w:val="24"/>
        </w:rPr>
      </w:pPr>
    </w:p>
    <w:p w14:paraId="73CF2C73" w14:textId="77777777" w:rsidR="00BF54D7" w:rsidRDefault="00BF54D7" w:rsidP="00BF54D7">
      <w:pPr>
        <w:spacing w:line="360" w:lineRule="auto"/>
        <w:rPr>
          <w:rFonts w:ascii="Gotham Book" w:hAnsi="Gotham Book"/>
          <w:sz w:val="24"/>
          <w:szCs w:val="24"/>
        </w:rPr>
      </w:pPr>
    </w:p>
    <w:p w14:paraId="1D6D9392" w14:textId="58EDB9DC" w:rsidR="00BF54D7" w:rsidRDefault="00BF54D7" w:rsidP="00BF54D7">
      <w:pPr>
        <w:spacing w:line="360" w:lineRule="auto"/>
        <w:rPr>
          <w:rFonts w:ascii="Gotham Book" w:hAnsi="Gotham Book"/>
          <w:sz w:val="24"/>
          <w:szCs w:val="24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3360" behindDoc="1" locked="0" layoutInCell="1" allowOverlap="1" wp14:anchorId="3300155F" wp14:editId="2540BF4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8500" cy="671195"/>
            <wp:effectExtent l="0" t="0" r="6350" b="0"/>
            <wp:wrapNone/>
            <wp:docPr id="62376601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24E3D4" w14:textId="589A0839" w:rsidR="00BF54D7" w:rsidRPr="00BF54D7" w:rsidRDefault="00BF54D7" w:rsidP="00BF54D7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>Ticket de salida</w:t>
      </w:r>
      <w:r w:rsidRPr="0022179D">
        <w:rPr>
          <w:rFonts w:ascii="Gotham Book" w:hAnsi="Gotham Book"/>
          <w:b/>
          <w:bCs/>
          <w:i/>
          <w:iCs/>
          <w:sz w:val="44"/>
          <w:szCs w:val="40"/>
        </w:rPr>
        <w:t xml:space="preserve"> de Texas Today </w:t>
      </w:r>
    </w:p>
    <w:p w14:paraId="4515C01A" w14:textId="77777777" w:rsidR="00BF54D7" w:rsidRPr="00022C1B" w:rsidRDefault="00BF54D7" w:rsidP="00BF54D7">
      <w:pPr>
        <w:rPr>
          <w:rFonts w:ascii="Gotham Book" w:hAnsi="Gotham Book"/>
          <w:sz w:val="24"/>
          <w:szCs w:val="24"/>
        </w:rPr>
      </w:pPr>
      <w:r w:rsidRPr="00022C1B">
        <w:rPr>
          <w:rFonts w:ascii="Gotham Book" w:hAnsi="Gotham Book"/>
          <w:b/>
          <w:bCs/>
          <w:i/>
          <w:iCs/>
          <w:sz w:val="24"/>
          <w:szCs w:val="24"/>
          <w:u w:val="single"/>
        </w:rPr>
        <w:t>Instrucciones</w:t>
      </w:r>
      <w:r w:rsidRPr="00022C1B">
        <w:rPr>
          <w:rFonts w:ascii="Gotham Book" w:hAnsi="Gotham Book"/>
          <w:sz w:val="24"/>
          <w:szCs w:val="24"/>
        </w:rPr>
        <w:t xml:space="preserve">: Los eventos a continuación están fuera de orden. Pon los eventos en el orden cronológico correcto escribiendo el número de cada evento en el espacio en blanco proporcionado. </w:t>
      </w:r>
    </w:p>
    <w:p w14:paraId="6E778BB8" w14:textId="77777777" w:rsidR="00BF54D7" w:rsidRPr="00022C1B" w:rsidRDefault="00BF54D7" w:rsidP="00BF54D7">
      <w:pPr>
        <w:rPr>
          <w:rFonts w:ascii="Gotham Book" w:hAnsi="Gotham Book"/>
          <w:sz w:val="24"/>
          <w:szCs w:val="24"/>
        </w:rPr>
      </w:pPr>
      <w:r w:rsidRPr="00022C1B">
        <w:rPr>
          <w:rFonts w:ascii="Gotham Book" w:hAnsi="Gotham Book"/>
          <w:b/>
          <w:bCs/>
          <w:i/>
          <w:iCs/>
          <w:sz w:val="24"/>
          <w:szCs w:val="24"/>
          <w:u w:val="single"/>
        </w:rPr>
        <w:t>Por ejemplo</w:t>
      </w:r>
      <w:r w:rsidRPr="00022C1B">
        <w:rPr>
          <w:rFonts w:ascii="Gotham Book" w:hAnsi="Gotham Book"/>
          <w:sz w:val="24"/>
          <w:szCs w:val="24"/>
        </w:rPr>
        <w:t xml:space="preserve">: Escribe "1" junto al primer evento, "2" junto al segundo evento, etc. </w:t>
      </w:r>
    </w:p>
    <w:p w14:paraId="7B380FB8" w14:textId="77777777" w:rsidR="00BF54D7" w:rsidRPr="00022C1B" w:rsidRDefault="00BF54D7" w:rsidP="00BF54D7">
      <w:pPr>
        <w:rPr>
          <w:sz w:val="10"/>
          <w:szCs w:val="10"/>
        </w:rPr>
      </w:pPr>
    </w:p>
    <w:p w14:paraId="30C00C0B" w14:textId="47A7B6BB" w:rsidR="00BF54D7" w:rsidRDefault="00954A28" w:rsidP="002A4A76">
      <w:pPr>
        <w:pStyle w:val="ListParagraph"/>
        <w:numPr>
          <w:ilvl w:val="0"/>
          <w:numId w:val="5"/>
        </w:numPr>
        <w:spacing w:line="360" w:lineRule="auto"/>
        <w:ind w:left="1350" w:hanging="90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Miles de angloamericanos se establecieron en Texas en las décadas de 1820 y 1830 en las colonias de empresarios como Stephen F. Austin.</w:t>
      </w:r>
    </w:p>
    <w:p w14:paraId="529AC1C2" w14:textId="77777777" w:rsidR="00BF54D7" w:rsidRDefault="00BF54D7" w:rsidP="00BF54D7">
      <w:pPr>
        <w:pStyle w:val="ListParagraph"/>
        <w:numPr>
          <w:ilvl w:val="0"/>
          <w:numId w:val="5"/>
        </w:numPr>
        <w:spacing w:line="360" w:lineRule="auto"/>
        <w:ind w:left="810"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El algodón es el cultivo comercial más rentable de Texas en la actualidad.</w:t>
      </w:r>
    </w:p>
    <w:p w14:paraId="16081F6C" w14:textId="02FA2D97" w:rsidR="00BF54D7" w:rsidRDefault="00BF54D7" w:rsidP="00BF54D7">
      <w:pPr>
        <w:pStyle w:val="ListParagraph"/>
        <w:numPr>
          <w:ilvl w:val="0"/>
          <w:numId w:val="5"/>
        </w:numPr>
        <w:spacing w:line="360" w:lineRule="auto"/>
        <w:ind w:left="1440" w:hanging="90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La población no indígena de Texas era pequeña y la economía era débil tras la independencia de México de España. </w:t>
      </w:r>
    </w:p>
    <w:p w14:paraId="50AA33F2" w14:textId="77777777" w:rsidR="00BF54D7" w:rsidRDefault="00BF54D7" w:rsidP="00BF54D7">
      <w:pPr>
        <w:pStyle w:val="ListParagraph"/>
        <w:numPr>
          <w:ilvl w:val="0"/>
          <w:numId w:val="5"/>
        </w:numPr>
        <w:spacing w:line="360" w:lineRule="auto"/>
        <w:ind w:left="810"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La economía de Texas creció principalmente gracias a las granjas algodoneras anglosajones que se establecieron bajo</w:t>
      </w:r>
    </w:p>
    <w:p w14:paraId="2C97B038" w14:textId="77777777" w:rsidR="00BF54D7" w:rsidRDefault="00BF54D7" w:rsidP="00BF54D7">
      <w:pPr>
        <w:pStyle w:val="ListParagraph"/>
        <w:spacing w:line="36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lastRenderedPageBreak/>
        <w:t xml:space="preserve">            the Empresario System.</w:t>
      </w:r>
    </w:p>
    <w:p w14:paraId="624CC814" w14:textId="77777777" w:rsidR="002A4A76" w:rsidRDefault="00BF54D7" w:rsidP="002A4A76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España, y luego México, invitaron a inmigrantes angloamericanos a establecerse en Texas con la esperanza de</w:t>
      </w:r>
    </w:p>
    <w:p w14:paraId="493D05D6" w14:textId="2937B18A" w:rsidR="00BF54D7" w:rsidRPr="00BF54D7" w:rsidRDefault="002A4A76" w:rsidP="001F0A80">
      <w:pPr>
        <w:pStyle w:val="ListParagraph"/>
        <w:spacing w:line="36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           aumentar la población y mejorar la economía mediante la agricultura algodonera. </w:t>
      </w:r>
    </w:p>
    <w:sectPr w:rsidR="00BF54D7" w:rsidRPr="00BF54D7" w:rsidSect="002C4E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DA9"/>
    <w:multiLevelType w:val="hybridMultilevel"/>
    <w:tmpl w:val="6F5C9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B1545"/>
    <w:multiLevelType w:val="hybridMultilevel"/>
    <w:tmpl w:val="6FD25D64"/>
    <w:lvl w:ilvl="0" w:tplc="0D4C9C50">
      <w:start w:val="1"/>
      <w:numFmt w:val="upperLetter"/>
      <w:lvlText w:val="_____ %1) "/>
      <w:lvlJc w:val="left"/>
      <w:pPr>
        <w:ind w:left="90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562287"/>
    <w:multiLevelType w:val="hybridMultilevel"/>
    <w:tmpl w:val="6FD25D64"/>
    <w:lvl w:ilvl="0" w:tplc="FFFFFFFF">
      <w:start w:val="1"/>
      <w:numFmt w:val="upperLetter"/>
      <w:lvlText w:val="_____ %1) 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53265"/>
    <w:multiLevelType w:val="hybridMultilevel"/>
    <w:tmpl w:val="6F5C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23047"/>
    <w:multiLevelType w:val="hybridMultilevel"/>
    <w:tmpl w:val="63D427E2"/>
    <w:lvl w:ilvl="0" w:tplc="910E338E">
      <w:start w:val="1"/>
      <w:numFmt w:val="upperLetter"/>
      <w:lvlText w:val="_____ %1) 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0343">
    <w:abstractNumId w:val="3"/>
  </w:num>
  <w:num w:numId="2" w16cid:durableId="2020502681">
    <w:abstractNumId w:val="0"/>
  </w:num>
  <w:num w:numId="3" w16cid:durableId="1432117120">
    <w:abstractNumId w:val="4"/>
  </w:num>
  <w:num w:numId="4" w16cid:durableId="442456244">
    <w:abstractNumId w:val="1"/>
  </w:num>
  <w:num w:numId="5" w16cid:durableId="150262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CB"/>
    <w:rsid w:val="00022C1B"/>
    <w:rsid w:val="000C4CCB"/>
    <w:rsid w:val="001B4B2F"/>
    <w:rsid w:val="001D7D2A"/>
    <w:rsid w:val="001F0A80"/>
    <w:rsid w:val="002A4A76"/>
    <w:rsid w:val="002C4EDA"/>
    <w:rsid w:val="00332076"/>
    <w:rsid w:val="00340B14"/>
    <w:rsid w:val="0065438C"/>
    <w:rsid w:val="006D1272"/>
    <w:rsid w:val="007E3B45"/>
    <w:rsid w:val="0081362A"/>
    <w:rsid w:val="008653CD"/>
    <w:rsid w:val="00954A28"/>
    <w:rsid w:val="00963012"/>
    <w:rsid w:val="009B7378"/>
    <w:rsid w:val="009F7AC1"/>
    <w:rsid w:val="00BD507D"/>
    <w:rsid w:val="00BF54D7"/>
    <w:rsid w:val="00C73106"/>
    <w:rsid w:val="00F0566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F6E8"/>
  <w15:chartTrackingRefBased/>
  <w15:docId w15:val="{09DBE7E6-9909-459D-92C9-F76F254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EDA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C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C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C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C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C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C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C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C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C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ED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D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chart" Target="charts/chart2.xml"/><Relationship Id="rId4" Type="http://schemas.openxmlformats.org/officeDocument/2006/relationships/numbering" Target="numbering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Top Agricultural Products in Texas</a:t>
            </a:r>
          </a:p>
          <a:p>
            <a:pPr>
              <a:defRPr/>
            </a:pPr>
            <a:r>
              <a:rPr lang="en-US" sz="1000"/>
              <a:t>Profit</a:t>
            </a:r>
            <a:r>
              <a:rPr lang="en-US" sz="1000" baseline="0"/>
              <a:t> by the Billions of Dollars</a:t>
            </a:r>
            <a:endParaRPr lang="en-US" sz="1000"/>
          </a:p>
        </c:rich>
      </c:tx>
      <c:layout>
        <c:manualLayout>
          <c:xMode val="edge"/>
          <c:yMode val="edge"/>
          <c:x val="0.15061344491312881"/>
          <c:y val="4.639294827186267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Top Agricultural Products in Texas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80-4235-B111-85DFB9A44C1E}"/>
              </c:ext>
            </c:extLst>
          </c:dPt>
          <c:dPt>
            <c:idx val="1"/>
            <c:bubble3D val="0"/>
            <c:spPr>
              <a:solidFill>
                <a:schemeClr val="bg2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80-4235-B111-85DFB9A44C1E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80-4235-B111-85DFB9A44C1E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80-4235-B111-85DFB9A44C1E}"/>
              </c:ext>
            </c:extLst>
          </c:dPt>
          <c:dPt>
            <c:idx val="4"/>
            <c:bubble3D val="0"/>
            <c:spPr>
              <a:solidFill>
                <a:schemeClr val="tx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80-4235-B111-85DFB9A44C1E}"/>
              </c:ext>
            </c:extLst>
          </c:dPt>
          <c:dLbls>
            <c:dLbl>
              <c:idx val="0"/>
              <c:layout>
                <c:manualLayout>
                  <c:x val="-0.19822856922213278"/>
                  <c:y val="-6.94310653757006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E797E4-9F73-4A43-A7E6-F392DD2A561F}" type="VALUE">
                      <a:rPr lang="en-US" sz="11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73470418234688"/>
                      <c:h val="9.406407706343594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D80-4235-B111-85DFB9A44C1E}"/>
                </c:ext>
              </c:extLst>
            </c:dLbl>
            <c:dLbl>
              <c:idx val="1"/>
              <c:layout>
                <c:manualLayout>
                  <c:x val="-2.1255684231474118E-2"/>
                  <c:y val="2.9799250041552823E-2"/>
                </c:manualLayout>
              </c:layout>
              <c:tx>
                <c:rich>
                  <a:bodyPr/>
                  <a:lstStyle/>
                  <a:p>
                    <a:fld id="{73EF8C07-B060-47D9-886C-87A20D5AD08E}" type="VALUE">
                      <a:rPr lang="en-US" sz="100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D80-4235-B111-85DFB9A44C1E}"/>
                </c:ext>
              </c:extLst>
            </c:dLbl>
            <c:dLbl>
              <c:idx val="2"/>
              <c:layout>
                <c:manualLayout>
                  <c:x val="-5.0769728849906624E-2"/>
                  <c:y val="-2.0893995766186845E-2"/>
                </c:manualLayout>
              </c:layout>
              <c:tx>
                <c:rich>
                  <a:bodyPr/>
                  <a:lstStyle/>
                  <a:p>
                    <a:fld id="{E5B63466-5080-4F4C-BE4D-F801C228ED4F}" type="VALUE">
                      <a:rPr lang="en-US" sz="105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D80-4235-B111-85DFB9A44C1E}"/>
                </c:ext>
              </c:extLst>
            </c:dLbl>
            <c:dLbl>
              <c:idx val="3"/>
              <c:layout>
                <c:manualLayout>
                  <c:x val="1.1316632855823237E-2"/>
                  <c:y val="-7.236569332799996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A6E7245-8361-44E2-97FC-7C163F517EEA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085785485792018"/>
                      <c:h val="0.1001985399006752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D80-4235-B111-85DFB9A44C1E}"/>
                </c:ext>
              </c:extLst>
            </c:dLbl>
            <c:dLbl>
              <c:idx val="4"/>
              <c:layout>
                <c:manualLayout>
                  <c:x val="3.9893793075191357E-2"/>
                  <c:y val="-1.66554451439916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6610412-BD80-49AB-B50F-5D0CB1E11DBB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732592284499916"/>
                      <c:h val="9.02777549466024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D80-4235-B111-85DFB9A44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Cattle</c:v>
                </c:pt>
                <c:pt idx="1">
                  <c:v>Broilers</c:v>
                </c:pt>
                <c:pt idx="2">
                  <c:v>Cotton</c:v>
                </c:pt>
                <c:pt idx="3">
                  <c:v>Milk</c:v>
                </c:pt>
                <c:pt idx="4">
                  <c:v>Corn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12.3</c:v>
                </c:pt>
                <c:pt idx="1">
                  <c:v>2.9</c:v>
                </c:pt>
                <c:pt idx="2">
                  <c:v>2.6</c:v>
                </c:pt>
                <c:pt idx="3">
                  <c:v>2.1</c:v>
                </c:pt>
                <c:pt idx="4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D80-4235-B111-85DFB9A44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Top Agricultural Products in Texas</a:t>
            </a:r>
          </a:p>
          <a:p>
            <a:pPr>
              <a:defRPr/>
            </a:pPr>
            <a:r>
              <a:rPr lang="en-US" sz="1000"/>
              <a:t>Profit</a:t>
            </a:r>
            <a:r>
              <a:rPr lang="en-US" sz="1000" baseline="0"/>
              <a:t> by the Billions of Dollars</a:t>
            </a:r>
            <a:endParaRPr lang="en-US" sz="1000"/>
          </a:p>
        </c:rich>
      </c:tx>
      <c:layout>
        <c:manualLayout>
          <c:xMode val="edge"/>
          <c:yMode val="edge"/>
          <c:x val="0.15061344491312881"/>
          <c:y val="4.639294827186267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Top Agricultural Products in Texas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6C-4000-B2ED-6BF01E45DBCA}"/>
              </c:ext>
            </c:extLst>
          </c:dPt>
          <c:dPt>
            <c:idx val="1"/>
            <c:bubble3D val="0"/>
            <c:spPr>
              <a:solidFill>
                <a:schemeClr val="bg2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6C-4000-B2ED-6BF01E45DBCA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6C-4000-B2ED-6BF01E45DBCA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B6C-4000-B2ED-6BF01E45DBCA}"/>
              </c:ext>
            </c:extLst>
          </c:dPt>
          <c:dPt>
            <c:idx val="4"/>
            <c:bubble3D val="0"/>
            <c:spPr>
              <a:solidFill>
                <a:schemeClr val="tx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B6C-4000-B2ED-6BF01E45DBCA}"/>
              </c:ext>
            </c:extLst>
          </c:dPt>
          <c:dLbls>
            <c:dLbl>
              <c:idx val="0"/>
              <c:layout>
                <c:manualLayout>
                  <c:x val="-0.19822856922213278"/>
                  <c:y val="-6.94310653757006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E797E4-9F73-4A43-A7E6-F392DD2A561F}" type="VALUE">
                      <a:rPr lang="en-US" sz="11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73470418234688"/>
                      <c:h val="9.406407706343594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B6C-4000-B2ED-6BF01E45DBCA}"/>
                </c:ext>
              </c:extLst>
            </c:dLbl>
            <c:dLbl>
              <c:idx val="1"/>
              <c:layout>
                <c:manualLayout>
                  <c:x val="-2.1255684231474118E-2"/>
                  <c:y val="2.9799250041552823E-2"/>
                </c:manualLayout>
              </c:layout>
              <c:tx>
                <c:rich>
                  <a:bodyPr/>
                  <a:lstStyle/>
                  <a:p>
                    <a:fld id="{73EF8C07-B060-47D9-886C-87A20D5AD08E}" type="VALUE">
                      <a:rPr lang="en-US" sz="100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B6C-4000-B2ED-6BF01E45DBCA}"/>
                </c:ext>
              </c:extLst>
            </c:dLbl>
            <c:dLbl>
              <c:idx val="2"/>
              <c:layout>
                <c:manualLayout>
                  <c:x val="-5.0769728849906624E-2"/>
                  <c:y val="-2.0893995766186845E-2"/>
                </c:manualLayout>
              </c:layout>
              <c:tx>
                <c:rich>
                  <a:bodyPr/>
                  <a:lstStyle/>
                  <a:p>
                    <a:fld id="{E5B63466-5080-4F4C-BE4D-F801C228ED4F}" type="VALUE">
                      <a:rPr lang="en-US" sz="105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B6C-4000-B2ED-6BF01E45DBCA}"/>
                </c:ext>
              </c:extLst>
            </c:dLbl>
            <c:dLbl>
              <c:idx val="3"/>
              <c:layout>
                <c:manualLayout>
                  <c:x val="1.1316632855823237E-2"/>
                  <c:y val="-7.236569332799996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A6E7245-8361-44E2-97FC-7C163F517EEA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085785485792018"/>
                      <c:h val="0.1001985399006752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B6C-4000-B2ED-6BF01E45DBCA}"/>
                </c:ext>
              </c:extLst>
            </c:dLbl>
            <c:dLbl>
              <c:idx val="4"/>
              <c:layout>
                <c:manualLayout>
                  <c:x val="3.9893793075191357E-2"/>
                  <c:y val="-1.66554451439916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6610412-BD80-49AB-B50F-5D0CB1E11DBB}" type="VALUE">
                      <a:rPr lang="en-US" sz="90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732592284499916"/>
                      <c:h val="9.02777549466024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B6C-4000-B2ED-6BF01E45DB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Cattle</c:v>
                </c:pt>
                <c:pt idx="1">
                  <c:v>Broilers</c:v>
                </c:pt>
                <c:pt idx="2">
                  <c:v>Cotton</c:v>
                </c:pt>
                <c:pt idx="3">
                  <c:v>Milk</c:v>
                </c:pt>
                <c:pt idx="4">
                  <c:v>Corn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12.3</c:v>
                </c:pt>
                <c:pt idx="1">
                  <c:v>2.9</c:v>
                </c:pt>
                <c:pt idx="2">
                  <c:v>2.6</c:v>
                </c:pt>
                <c:pt idx="3">
                  <c:v>2.1</c:v>
                </c:pt>
                <c:pt idx="4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B6C-4000-B2ED-6BF01E45D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532FA-9855-4456-8347-473887D1DF8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FC75EB2A-C484-4B1E-B4AE-989EC664BB6C}"/>
</file>

<file path=customXml/itemProps3.xml><?xml version="1.0" encoding="utf-8"?>
<ds:datastoreItem xmlns:ds="http://schemas.openxmlformats.org/officeDocument/2006/customXml" ds:itemID="{C061AA7D-7713-4577-A4B6-5D103AF83D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2025-02-04T16:28:00Z</dcterms:created>
  <dcterms:modified xsi:type="dcterms:W3CDTF">2025-12-05T17:40:00Z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