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CellSpacing w:w="93" w:type="dxa"/>
        <w:tblLook w:val="04A0" w:firstRow="1" w:lastRow="0" w:firstColumn="1" w:lastColumn="0" w:noHBand="0" w:noVBand="1"/>
      </w:tblPr>
      <w:tblGrid>
        <w:gridCol w:w="4760"/>
        <w:gridCol w:w="4590"/>
      </w:tblGrid>
      <w:tr w:rsidR="00AB1E20" w:rsidRPr="00E71A3A" w14:paraId="129F06DA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FB4D53D" w14:textId="092E581B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Reconstrucción Presidencial</w:t>
            </w:r>
          </w:p>
        </w:tc>
        <w:tc>
          <w:tcPr>
            <w:tcW w:w="4311" w:type="dxa"/>
            <w:vAlign w:val="center"/>
          </w:tcPr>
          <w:p w14:paraId="2D31A8EA" w14:textId="64EC50EE" w:rsidR="00AB1E20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periodo de la Reconstrucción bajo Andrew Johnson, que se centró en un enfoque indulgente hacia los exconfederados y los estados sureños.</w:t>
            </w:r>
          </w:p>
          <w:p w14:paraId="476541ED" w14:textId="12432F68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1865-1867</w:t>
            </w:r>
          </w:p>
        </w:tc>
      </w:tr>
      <w:tr w:rsidR="00AB1E20" w:rsidRPr="00E71A3A" w14:paraId="07897288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79D6A64B" w14:textId="00D32DC4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Reconstrucción del Congreso</w:t>
            </w:r>
          </w:p>
        </w:tc>
        <w:tc>
          <w:tcPr>
            <w:tcW w:w="4311" w:type="dxa"/>
            <w:vAlign w:val="center"/>
          </w:tcPr>
          <w:p w14:paraId="2BBF7DF5" w14:textId="77777777" w:rsidR="00AB1E20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periodo de la Reconstrucción bajo el Congreso de EE. UU., que aprobó estrictos requisitos para el Sur y puso a los estados del Sur bajo dominio militar.</w:t>
            </w:r>
          </w:p>
          <w:p w14:paraId="3AB687ED" w14:textId="6DDA4C36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1867-1873</w:t>
            </w:r>
          </w:p>
        </w:tc>
      </w:tr>
      <w:tr w:rsidR="00AB1E20" w:rsidRPr="00E71A3A" w14:paraId="39CFE23E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3EFB804E" w14:textId="2031F618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Reconstrucción del Redentor</w:t>
            </w:r>
          </w:p>
        </w:tc>
        <w:tc>
          <w:tcPr>
            <w:tcW w:w="4311" w:type="dxa"/>
            <w:vAlign w:val="center"/>
          </w:tcPr>
          <w:p w14:paraId="2EF59150" w14:textId="322DF71C" w:rsidR="00AB1E20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periodo de la Reconstrucción durante el cual los exconfederados regresaron al poder y trabajaron para deshacer las políticas establecidas bajo el Congreso.</w:t>
            </w:r>
          </w:p>
          <w:p w14:paraId="51761351" w14:textId="136464E6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1873 - 1876 </w:t>
            </w:r>
          </w:p>
        </w:tc>
      </w:tr>
      <w:tr w:rsidR="00AB1E20" w:rsidRPr="00E71A3A" w14:paraId="5C915B9A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772739DD" w14:textId="71D87F86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Sufragio</w:t>
            </w:r>
          </w:p>
        </w:tc>
        <w:tc>
          <w:tcPr>
            <w:tcW w:w="4311" w:type="dxa"/>
            <w:vAlign w:val="center"/>
          </w:tcPr>
          <w:p w14:paraId="36E3CF38" w14:textId="46061B49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derecho al voto en las elecciones políticas.</w:t>
            </w:r>
          </w:p>
        </w:tc>
      </w:tr>
      <w:tr w:rsidR="00AB1E20" w:rsidRPr="00E71A3A" w14:paraId="0D53EF20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F740EFE" w14:textId="1B3FD72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lastRenderedPageBreak/>
              <w:t xml:space="preserve">Hacia el derecho al voto </w:t>
            </w:r>
          </w:p>
        </w:tc>
        <w:tc>
          <w:tcPr>
            <w:tcW w:w="4311" w:type="dxa"/>
            <w:vAlign w:val="center"/>
          </w:tcPr>
          <w:p w14:paraId="326FFD44" w14:textId="4758BB7E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Conceder a una persona o grupo el derecho a voto.</w:t>
            </w:r>
          </w:p>
        </w:tc>
      </w:tr>
      <w:tr w:rsidR="00AB1E20" w:rsidRPr="00E71A3A" w14:paraId="2C10195A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80954CC" w14:textId="6E978AB3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Aparcero</w:t>
            </w:r>
          </w:p>
        </w:tc>
        <w:tc>
          <w:tcPr>
            <w:tcW w:w="4311" w:type="dxa"/>
            <w:vAlign w:val="center"/>
          </w:tcPr>
          <w:p w14:paraId="4906FC76" w14:textId="35D98910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Un agricultor que alquilaba tierras y equipos a los propietarios, pagando con una parte de los cultivos que cultivaban, a menudo manteniéndolos en ciclos de deuda.</w:t>
            </w:r>
          </w:p>
        </w:tc>
      </w:tr>
      <w:tr w:rsidR="00AB1E20" w:rsidRPr="00E71A3A" w14:paraId="1C5577B6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00A96D69" w14:textId="40F0CE36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Enmienda</w:t>
            </w:r>
          </w:p>
        </w:tc>
        <w:tc>
          <w:tcPr>
            <w:tcW w:w="4311" w:type="dxa"/>
            <w:vAlign w:val="center"/>
          </w:tcPr>
          <w:p w14:paraId="7ED71534" w14:textId="4627EFED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Una adición a la Constitución destinada a actualizar o mejorar el documento.</w:t>
            </w:r>
          </w:p>
        </w:tc>
      </w:tr>
      <w:tr w:rsidR="00AB1E20" w:rsidRPr="00C02A54" w14:paraId="2DA35AA9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15DE3DE3" w14:textId="5339DCBA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13ª Enmienda</w:t>
            </w:r>
          </w:p>
        </w:tc>
        <w:tc>
          <w:tcPr>
            <w:tcW w:w="4311" w:type="dxa"/>
            <w:vAlign w:val="center"/>
          </w:tcPr>
          <w:p w14:paraId="09F8ECDC" w14:textId="460993A4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Una adición a la Constitución de EE. UU. que abolió la esclavitud o servidumbre forzada excepto como castigo por un delito debidamente condenado.</w:t>
            </w:r>
          </w:p>
        </w:tc>
      </w:tr>
      <w:tr w:rsidR="00AB1E20" w:rsidRPr="00C02A54" w14:paraId="22298A40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10ECA57" w14:textId="18CE37CD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lastRenderedPageBreak/>
              <w:t>14ª Enmienda</w:t>
            </w:r>
          </w:p>
        </w:tc>
        <w:tc>
          <w:tcPr>
            <w:tcW w:w="4311" w:type="dxa"/>
            <w:vAlign w:val="center"/>
          </w:tcPr>
          <w:p w14:paraId="0F754D77" w14:textId="6D2B5706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Una adición a la Constitución de EE. UU. que otorgaba la ciudadanía a todas las personas nacidas en Estados Unidos, convirtiendo así a las personas que antes habían sido esclavizadas en ciudadanos estadounidenses.</w:t>
            </w:r>
          </w:p>
        </w:tc>
      </w:tr>
      <w:tr w:rsidR="00AB1E20" w:rsidRPr="00C02A54" w14:paraId="2E814975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AA08C1C" w14:textId="662400DB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15ª Enmienda</w:t>
            </w:r>
          </w:p>
        </w:tc>
        <w:tc>
          <w:tcPr>
            <w:tcW w:w="4311" w:type="dxa"/>
            <w:vAlign w:val="center"/>
          </w:tcPr>
          <w:p w14:paraId="2C2BFC78" w14:textId="776DB001" w:rsidR="00AB1E20" w:rsidRPr="00E71A3A" w:rsidRDefault="00AB1E20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Una adición a la Constitución de EE. UU. que extendió el derecho al voto a los hombres negros.</w:t>
            </w:r>
          </w:p>
        </w:tc>
      </w:tr>
      <w:tr w:rsidR="00AB1E20" w:rsidRPr="00C02A54" w14:paraId="03E10BB5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D146F05" w14:textId="328B970D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Ratificar</w:t>
            </w:r>
          </w:p>
        </w:tc>
        <w:tc>
          <w:tcPr>
            <w:tcW w:w="4311" w:type="dxa"/>
            <w:vAlign w:val="center"/>
          </w:tcPr>
          <w:p w14:paraId="43F407EE" w14:textId="6B02E9A6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Aprobar y aceptar oficialmente un documento o ley gubernamental.</w:t>
            </w:r>
          </w:p>
        </w:tc>
      </w:tr>
      <w:tr w:rsidR="00AB1E20" w:rsidRPr="00C02A54" w14:paraId="0A6389AD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57AEA672" w14:textId="2A282417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Ley Marcial</w:t>
            </w:r>
          </w:p>
        </w:tc>
        <w:tc>
          <w:tcPr>
            <w:tcW w:w="4311" w:type="dxa"/>
            <w:vAlign w:val="center"/>
          </w:tcPr>
          <w:p w14:paraId="623445B8" w14:textId="2B3DC01E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Un gobierno bajo régimen militar, en lugar de gobernado por ciudadanos elegidos.</w:t>
            </w:r>
          </w:p>
        </w:tc>
      </w:tr>
      <w:tr w:rsidR="00AB1E20" w:rsidRPr="00C02A54" w14:paraId="35471D45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7A068786" w14:textId="51A4C86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lastRenderedPageBreak/>
              <w:t>Emancipación</w:t>
            </w:r>
          </w:p>
        </w:tc>
        <w:tc>
          <w:tcPr>
            <w:tcW w:w="4311" w:type="dxa"/>
            <w:vAlign w:val="center"/>
          </w:tcPr>
          <w:p w14:paraId="678A074E" w14:textId="4E88F6B7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acto de liberar a alguien de la esclavitud (esclavitud).</w:t>
            </w:r>
          </w:p>
        </w:tc>
      </w:tr>
      <w:tr w:rsidR="00AB1E20" w:rsidRPr="00C02A54" w14:paraId="20A664CB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06F9966" w14:textId="1752A230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Abraham Lincoln</w:t>
            </w:r>
          </w:p>
        </w:tc>
        <w:tc>
          <w:tcPr>
            <w:tcW w:w="4311" w:type="dxa"/>
            <w:vAlign w:val="center"/>
          </w:tcPr>
          <w:p w14:paraId="745CA156" w14:textId="7B89B20B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presidente de los Estados Unidos durante la Guerra Civil, que fue reelegido para un segundo mandato que no pudo desempeñar porque fue asesinado al final de la guerra.</w:t>
            </w:r>
          </w:p>
        </w:tc>
      </w:tr>
      <w:tr w:rsidR="00AB1E20" w:rsidRPr="00C02A54" w14:paraId="60DF15A7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F470854" w14:textId="49107575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Andrew Johnson</w:t>
            </w:r>
          </w:p>
        </w:tc>
        <w:tc>
          <w:tcPr>
            <w:tcW w:w="4311" w:type="dxa"/>
            <w:vAlign w:val="center"/>
          </w:tcPr>
          <w:p w14:paraId="7317532F" w14:textId="7335522C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presidente durante los primeros 4 años de la Reconstrucción, aunque fue sometido a un impeachment por el Congreso. No fue condenado, por lo que permaneció en el cargo, aunque tenía poco poder.</w:t>
            </w:r>
          </w:p>
        </w:tc>
      </w:tr>
      <w:tr w:rsidR="00AB1E20" w:rsidRPr="00C02A54" w14:paraId="0E0D4CD1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3EAB38F" w14:textId="0A9C715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Richard Coke</w:t>
            </w:r>
          </w:p>
        </w:tc>
        <w:tc>
          <w:tcPr>
            <w:tcW w:w="4311" w:type="dxa"/>
            <w:vAlign w:val="center"/>
          </w:tcPr>
          <w:p w14:paraId="7DF729D8" w14:textId="2B725D43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último gobernador elegido durante la Reconstrucción. Fue elegido por los Redentores para deshacer las políticas establecidas durante la Reconstrucción del Congreso.</w:t>
            </w:r>
          </w:p>
        </w:tc>
      </w:tr>
      <w:tr w:rsidR="00AB1E20" w:rsidRPr="00C02A54" w14:paraId="26FBF491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1EA1A94" w14:textId="2829C97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lastRenderedPageBreak/>
              <w:t>Códigos negros</w:t>
            </w:r>
          </w:p>
        </w:tc>
        <w:tc>
          <w:tcPr>
            <w:tcW w:w="4311" w:type="dxa"/>
            <w:vAlign w:val="center"/>
          </w:tcPr>
          <w:p w14:paraId="4D0A80CC" w14:textId="4350468D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 Se aprobaron una serie de leyes en estados del sur, incluido Texas, para restringir las acciones y derechos de los sureños negros.</w:t>
            </w:r>
          </w:p>
        </w:tc>
      </w:tr>
      <w:tr w:rsidR="00AB1E20" w:rsidRPr="00C02A54" w14:paraId="0DF5E737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6F5337F" w14:textId="087DD712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  <w:r w:rsidRPr="00AB1E20">
              <w:rPr>
                <w:rFonts w:ascii="Gothambook" w:hAnsi="Gothambook"/>
                <w:sz w:val="56"/>
                <w:szCs w:val="200"/>
              </w:rPr>
              <w:t>A destituir</w:t>
            </w:r>
          </w:p>
          <w:p w14:paraId="41FFB6AA" w14:textId="77777777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200"/>
              </w:rPr>
            </w:pPr>
          </w:p>
        </w:tc>
        <w:tc>
          <w:tcPr>
            <w:tcW w:w="4311" w:type="dxa"/>
            <w:vAlign w:val="center"/>
          </w:tcPr>
          <w:p w14:paraId="0A0F7486" w14:textId="49B10690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Votar para destituir a un cargo electo. Para que el cargo electo sea destituido del cargo, no solo debe ser sometido a un impeachment, sino también condenado.</w:t>
            </w:r>
          </w:p>
        </w:tc>
      </w:tr>
      <w:tr w:rsidR="00AB1E20" w:rsidRPr="00C02A54" w14:paraId="04F24FC4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447B635" w14:textId="0E1A5D96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Leyes de vagancia</w:t>
            </w:r>
          </w:p>
        </w:tc>
        <w:tc>
          <w:tcPr>
            <w:tcW w:w="4311" w:type="dxa"/>
            <w:vAlign w:val="center"/>
          </w:tcPr>
          <w:p w14:paraId="2E260DF6" w14:textId="27E46A6E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Leyes aprobadas por la legislatura de Texas para controlar el trabajo y las acciones de los negros texanos, incluyendo la implementación de castigos por personas sin hogar.</w:t>
            </w:r>
          </w:p>
        </w:tc>
      </w:tr>
      <w:tr w:rsidR="00AB1E20" w:rsidRPr="00C02A54" w14:paraId="40467774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3A2E2CD7" w14:textId="5FDA7055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Oficina de Libertos</w:t>
            </w:r>
          </w:p>
        </w:tc>
        <w:tc>
          <w:tcPr>
            <w:tcW w:w="4311" w:type="dxa"/>
            <w:vAlign w:val="center"/>
          </w:tcPr>
          <w:p w14:paraId="187AF645" w14:textId="5422A5AD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Una organización federal creada para ofrecer servicios a los negros del sur, incluyendo educación, atención médica y asistencia legal.</w:t>
            </w:r>
          </w:p>
        </w:tc>
      </w:tr>
    </w:tbl>
    <w:p w14:paraId="6ED9DBB6" w14:textId="77777777" w:rsidR="00AB1E20" w:rsidRDefault="00AB1E20" w:rsidP="00AB1E20"/>
    <w:tbl>
      <w:tblPr>
        <w:tblStyle w:val="TableGrid"/>
        <w:tblW w:w="0" w:type="auto"/>
        <w:tblCellSpacing w:w="93" w:type="dxa"/>
        <w:tblLook w:val="04A0" w:firstRow="1" w:lastRow="0" w:firstColumn="1" w:lastColumn="0" w:noHBand="0" w:noVBand="1"/>
      </w:tblPr>
      <w:tblGrid>
        <w:gridCol w:w="4760"/>
        <w:gridCol w:w="4590"/>
      </w:tblGrid>
      <w:tr w:rsidR="00AB1E20" w:rsidRPr="00E71A3A" w14:paraId="043C2CC3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361A3B7D" w14:textId="7449A1F6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lastRenderedPageBreak/>
              <w:t>Ku Klux Klan</w:t>
            </w:r>
          </w:p>
        </w:tc>
        <w:tc>
          <w:tcPr>
            <w:tcW w:w="4311" w:type="dxa"/>
            <w:vAlign w:val="center"/>
          </w:tcPr>
          <w:p w14:paraId="27690D9E" w14:textId="0CE763E3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Una organización terrorista formada en el Sur que utilizó amenazas y violencia contra los sureños negros y sus aliados para impedir que ejercieran sus derechos.</w:t>
            </w:r>
          </w:p>
        </w:tc>
      </w:tr>
      <w:tr w:rsidR="00AB1E20" w:rsidRPr="00E71A3A" w14:paraId="724FB012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138DD776" w14:textId="3476D288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Perdón</w:t>
            </w:r>
          </w:p>
        </w:tc>
        <w:tc>
          <w:tcPr>
            <w:tcW w:w="4311" w:type="dxa"/>
            <w:vAlign w:val="center"/>
          </w:tcPr>
          <w:p w14:paraId="438F7A32" w14:textId="6903D82A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Perdón oficial concedido por el presidente a las personas que han cometido delitos. El presidente Johnson las emitió a exconfederados tras la Guerra Civil.</w:t>
            </w:r>
          </w:p>
        </w:tc>
      </w:tr>
      <w:tr w:rsidR="00AB1E20" w:rsidRPr="00E71A3A" w14:paraId="048795FE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76228F8F" w14:textId="6CE25E3C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Leyes de Reconstrucción</w:t>
            </w:r>
          </w:p>
        </w:tc>
        <w:tc>
          <w:tcPr>
            <w:tcW w:w="4311" w:type="dxa"/>
            <w:vAlign w:val="center"/>
          </w:tcPr>
          <w:p w14:paraId="26EA45E1" w14:textId="7CC1FB95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Una serie de leyes aprobadas por el Congreso de EE. UU. que obligaban a los estados sureños a reescribir sus constituciones, eliminar los Códigos Negros, aprobar las enmiendas 13ª y 14ª y someterse a la ley marcial. </w:t>
            </w:r>
          </w:p>
        </w:tc>
      </w:tr>
      <w:tr w:rsidR="00AB1E20" w:rsidRPr="00E71A3A" w14:paraId="29BE666D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091EF2A" w14:textId="30F284AA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Gobierno centralizado</w:t>
            </w:r>
          </w:p>
        </w:tc>
        <w:tc>
          <w:tcPr>
            <w:tcW w:w="4311" w:type="dxa"/>
            <w:vAlign w:val="center"/>
          </w:tcPr>
          <w:p w14:paraId="5990F972" w14:textId="3AF5E07E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Un gobierno donde la mayor parte del poder recae en las personas en la cúpula – por ejemplo, en el gobernador de un estado.</w:t>
            </w:r>
          </w:p>
        </w:tc>
      </w:tr>
      <w:tr w:rsidR="00AB1E20" w:rsidRPr="00E71A3A" w14:paraId="72700EBF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086C3F8A" w14:textId="56CA4B85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lastRenderedPageBreak/>
              <w:t>Gobierno Localizado</w:t>
            </w:r>
          </w:p>
        </w:tc>
        <w:tc>
          <w:tcPr>
            <w:tcW w:w="4311" w:type="dxa"/>
            <w:vAlign w:val="center"/>
          </w:tcPr>
          <w:p w14:paraId="3BCE3FBD" w14:textId="1C548A3D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Gobierno donde la mayor parte del poder lo tienen personas en niveles más bajos, por ejemplo en pueblos y condados.</w:t>
            </w:r>
          </w:p>
        </w:tc>
      </w:tr>
      <w:tr w:rsidR="00AB1E20" w:rsidRPr="00E71A3A" w14:paraId="43FE6713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FF2B477" w14:textId="573C8E01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Abolir</w:t>
            </w:r>
          </w:p>
        </w:tc>
        <w:tc>
          <w:tcPr>
            <w:tcW w:w="4311" w:type="dxa"/>
            <w:vAlign w:val="center"/>
          </w:tcPr>
          <w:p w14:paraId="2D021578" w14:textId="7F9729D5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Para deshacerse oficialmente de algo. La esclavitud terminó oficialmente con la Decimotercera Enmienda.</w:t>
            </w:r>
          </w:p>
        </w:tc>
      </w:tr>
      <w:tr w:rsidR="00AB1E20" w:rsidRPr="00E71A3A" w14:paraId="240D0A34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11C50C83" w14:textId="1FE62524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Constitución de 1876</w:t>
            </w:r>
          </w:p>
        </w:tc>
        <w:tc>
          <w:tcPr>
            <w:tcW w:w="4311" w:type="dxa"/>
            <w:vAlign w:val="center"/>
          </w:tcPr>
          <w:p w14:paraId="4F7DB171" w14:textId="0CECE058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último gobierno de la Reconstrucción de Texas se estableció con este documento, que descentralizó el gobierno y devolvió el poder a los gobiernos locales.</w:t>
            </w:r>
          </w:p>
        </w:tc>
      </w:tr>
      <w:tr w:rsidR="00AB1E20" w:rsidRPr="00C02A54" w14:paraId="7BF3E96B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34D31AD" w14:textId="16B8A369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Soberanía popular</w:t>
            </w:r>
          </w:p>
        </w:tc>
        <w:tc>
          <w:tcPr>
            <w:tcW w:w="4311" w:type="dxa"/>
            <w:vAlign w:val="center"/>
          </w:tcPr>
          <w:p w14:paraId="637789F2" w14:textId="2EF43570" w:rsidR="00AB1E20" w:rsidRPr="00E71A3A" w:rsidRDefault="00B11462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El principio de gobierno que establece que el poder de un gobierno proviene del pueblo. </w:t>
            </w:r>
          </w:p>
        </w:tc>
      </w:tr>
      <w:tr w:rsidR="00AB1E20" w:rsidRPr="00C02A54" w14:paraId="6BEDE68E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560CD25" w14:textId="57AC0A0F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lastRenderedPageBreak/>
              <w:t>Federalismo</w:t>
            </w:r>
          </w:p>
        </w:tc>
        <w:tc>
          <w:tcPr>
            <w:tcW w:w="4311" w:type="dxa"/>
            <w:vAlign w:val="center"/>
          </w:tcPr>
          <w:p w14:paraId="0DAAC901" w14:textId="2F415D60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principio de gobierno establece que el gobierno nacional y los gobiernos estatales comparten el poder.</w:t>
            </w:r>
          </w:p>
        </w:tc>
      </w:tr>
      <w:tr w:rsidR="00AB1E20" w:rsidRPr="00C02A54" w14:paraId="4584FD49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5CBE5360" w14:textId="584BB624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Republicanismo</w:t>
            </w:r>
          </w:p>
        </w:tc>
        <w:tc>
          <w:tcPr>
            <w:tcW w:w="4311" w:type="dxa"/>
            <w:vAlign w:val="center"/>
          </w:tcPr>
          <w:p w14:paraId="0C918416" w14:textId="0B17097B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principio de gobierno establece que las personas eligen representantes para servir en el gobierno.</w:t>
            </w:r>
          </w:p>
        </w:tc>
      </w:tr>
      <w:tr w:rsidR="00AB1E20" w:rsidRPr="00C02A54" w14:paraId="168E29A0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4C6725C8" w14:textId="457751BA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Separación de poderes</w:t>
            </w:r>
          </w:p>
        </w:tc>
        <w:tc>
          <w:tcPr>
            <w:tcW w:w="4311" w:type="dxa"/>
            <w:vAlign w:val="center"/>
          </w:tcPr>
          <w:p w14:paraId="2C215A33" w14:textId="54A26B22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principio de gobierno que creó tres ramas diferentes del gobierno, cada una con sus propias responsabilidades.</w:t>
            </w:r>
          </w:p>
        </w:tc>
      </w:tr>
      <w:tr w:rsidR="00AB1E20" w:rsidRPr="00C02A54" w14:paraId="4C8DEE26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C668BBB" w14:textId="3A327C8F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Controles y equilibrios</w:t>
            </w:r>
          </w:p>
        </w:tc>
        <w:tc>
          <w:tcPr>
            <w:tcW w:w="4311" w:type="dxa"/>
            <w:vAlign w:val="center"/>
          </w:tcPr>
          <w:p w14:paraId="750B461E" w14:textId="6BB7CECF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principio de gobierno que otorga a cada rama del gobierno el poder de limitar los poderes de las otras dos ramas.</w:t>
            </w:r>
          </w:p>
        </w:tc>
      </w:tr>
      <w:tr w:rsidR="00AB1E20" w:rsidRPr="00C02A54" w14:paraId="2EF41589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2E468D63" w14:textId="1797FD6B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lastRenderedPageBreak/>
              <w:t>Derechos individuales</w:t>
            </w:r>
          </w:p>
        </w:tc>
        <w:tc>
          <w:tcPr>
            <w:tcW w:w="4311" w:type="dxa"/>
            <w:vAlign w:val="center"/>
          </w:tcPr>
          <w:p w14:paraId="63AAEA86" w14:textId="20EBD6F6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El principio de gobierno que establece que las personas tienen derechos que no pueden ser arrebatados.</w:t>
            </w:r>
          </w:p>
        </w:tc>
      </w:tr>
      <w:tr w:rsidR="00AB1E20" w:rsidRPr="00C02A54" w14:paraId="5D998E81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18BDDA7D" w14:textId="663C046A" w:rsidR="00AB1E20" w:rsidRPr="00AB1E20" w:rsidRDefault="00AB1E20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 w:rsidRPr="00AB1E20">
              <w:rPr>
                <w:rFonts w:ascii="Gothambook" w:hAnsi="Gothambook"/>
                <w:sz w:val="56"/>
                <w:szCs w:val="56"/>
              </w:rPr>
              <w:t>Gobierno limitado</w:t>
            </w:r>
          </w:p>
        </w:tc>
        <w:tc>
          <w:tcPr>
            <w:tcW w:w="4311" w:type="dxa"/>
            <w:vAlign w:val="center"/>
          </w:tcPr>
          <w:p w14:paraId="4673A54E" w14:textId="285DE7B7" w:rsidR="00AB1E20" w:rsidRPr="00E71A3A" w:rsidRDefault="008B4F1A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 xml:space="preserve">El principio de gobierno que establece que el gobierno no puede llegar a ser demasiado poderoso. </w:t>
            </w:r>
          </w:p>
        </w:tc>
      </w:tr>
      <w:tr w:rsidR="00DD1663" w:rsidRPr="00C02A54" w14:paraId="35A71C65" w14:textId="77777777" w:rsidTr="00AB1E20">
        <w:trPr>
          <w:cantSplit/>
          <w:trHeight w:hRule="exact" w:val="2880"/>
          <w:tblCellSpacing w:w="93" w:type="dxa"/>
        </w:trPr>
        <w:tc>
          <w:tcPr>
            <w:tcW w:w="4481" w:type="dxa"/>
            <w:shd w:val="clear" w:color="auto" w:fill="D9D9D9" w:themeFill="background1" w:themeFillShade="D9"/>
            <w:vAlign w:val="center"/>
          </w:tcPr>
          <w:p w14:paraId="6B1F76DE" w14:textId="4846E1D1" w:rsidR="00DD1663" w:rsidRPr="00AB1E20" w:rsidRDefault="00DD1663" w:rsidP="00015856">
            <w:pPr>
              <w:jc w:val="center"/>
              <w:rPr>
                <w:rFonts w:ascii="Gothambook" w:hAnsi="Gothambook"/>
                <w:sz w:val="56"/>
                <w:szCs w:val="56"/>
              </w:rPr>
            </w:pPr>
            <w:r>
              <w:rPr>
                <w:rFonts w:ascii="Gothambook" w:hAnsi="Gothambook"/>
                <w:sz w:val="56"/>
                <w:szCs w:val="56"/>
              </w:rPr>
              <w:t>Lawrence "Sul" Ross</w:t>
            </w:r>
          </w:p>
        </w:tc>
        <w:tc>
          <w:tcPr>
            <w:tcW w:w="4311" w:type="dxa"/>
            <w:vAlign w:val="center"/>
          </w:tcPr>
          <w:p w14:paraId="31200D33" w14:textId="62EFA8F9" w:rsidR="00DD1663" w:rsidRDefault="00DD1663" w:rsidP="00015856">
            <w:pPr>
              <w:jc w:val="center"/>
              <w:rPr>
                <w:rFonts w:ascii="Gothambook" w:hAnsi="Gothambook"/>
                <w:sz w:val="32"/>
                <w:szCs w:val="32"/>
              </w:rPr>
            </w:pPr>
            <w:r>
              <w:rPr>
                <w:rFonts w:ascii="Gothambook" w:hAnsi="Gothambook"/>
                <w:sz w:val="32"/>
                <w:szCs w:val="32"/>
              </w:rPr>
              <w:t>Antiguo Texas Ranger que ayudó a fundar la Asociación de Sheriffs de Texas, contribuyó a redactar la Constitución de 1876, fue senador estatal y luego gobernador.</w:t>
            </w:r>
          </w:p>
        </w:tc>
      </w:tr>
    </w:tbl>
    <w:p w14:paraId="4A7502E5" w14:textId="41377FCB" w:rsidR="00AB1E20" w:rsidRDefault="00AB1E20"/>
    <w:sectPr w:rsidR="00AB1E20" w:rsidSect="00AB1E20">
      <w:headerReference w:type="default" r:id="rId9"/>
      <w:footerReference w:type="default" r:id="rId10"/>
      <w:pgSz w:w="12240" w:h="15840"/>
      <w:pgMar w:top="201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AC1D6" w14:textId="77777777" w:rsidR="00AB1E20" w:rsidRDefault="00AB1E20" w:rsidP="00AB1E20">
      <w:pPr>
        <w:spacing w:after="0" w:line="240" w:lineRule="auto"/>
      </w:pPr>
      <w:r>
        <w:separator/>
      </w:r>
    </w:p>
  </w:endnote>
  <w:endnote w:type="continuationSeparator" w:id="0">
    <w:p w14:paraId="371F2E1B" w14:textId="77777777" w:rsidR="00AB1E20" w:rsidRDefault="00AB1E20" w:rsidP="00AB1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book">
    <w:altName w:val="Cambria"/>
    <w:panose1 w:val="00000000000000000000"/>
    <w:charset w:val="00"/>
    <w:family w:val="roman"/>
    <w:notTrueType/>
    <w:pitch w:val="default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00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4DB727" w14:textId="77777777" w:rsidR="00AB1E20" w:rsidRDefault="00AB1E20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9264" behindDoc="1" locked="0" layoutInCell="1" allowOverlap="1" wp14:anchorId="5B4D58D0" wp14:editId="4155178D">
              <wp:simplePos x="0" y="0"/>
              <wp:positionH relativeFrom="margin">
                <wp:align>right</wp:align>
              </wp:positionH>
              <wp:positionV relativeFrom="paragraph">
                <wp:posOffset>-91512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782537" w14:textId="77777777" w:rsidR="00AB1E20" w:rsidRDefault="00AB1E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2264A" w14:textId="77777777" w:rsidR="00AB1E20" w:rsidRDefault="00AB1E20" w:rsidP="00AB1E20">
      <w:pPr>
        <w:spacing w:after="0" w:line="240" w:lineRule="auto"/>
      </w:pPr>
      <w:r>
        <w:separator/>
      </w:r>
    </w:p>
  </w:footnote>
  <w:footnote w:type="continuationSeparator" w:id="0">
    <w:p w14:paraId="1FFFCC38" w14:textId="77777777" w:rsidR="00AB1E20" w:rsidRDefault="00AB1E20" w:rsidP="00AB1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B88C" w14:textId="4A2CD75F" w:rsidR="00AB1E20" w:rsidRPr="00AB1E20" w:rsidRDefault="00AB1E20">
    <w:pPr>
      <w:pStyle w:val="Header"/>
      <w:rPr>
        <w:rFonts w:ascii="Gotham Book" w:hAnsi="Gotham Book"/>
        <w:sz w:val="36"/>
        <w:szCs w:val="48"/>
      </w:rPr>
    </w:pPr>
    <w:r w:rsidRPr="00AB1E20">
      <w:rPr>
        <w:rFonts w:ascii="Gotham Book" w:hAnsi="Gotham Book"/>
        <w:noProof/>
        <w:sz w:val="36"/>
        <w:szCs w:val="48"/>
      </w:rPr>
      <w:drawing>
        <wp:anchor distT="0" distB="0" distL="114300" distR="114300" simplePos="0" relativeHeight="251661312" behindDoc="1" locked="0" layoutInCell="1" allowOverlap="1" wp14:anchorId="2568E8CC" wp14:editId="0D6D3A1D">
          <wp:simplePos x="0" y="0"/>
          <wp:positionH relativeFrom="margin">
            <wp:align>left</wp:align>
          </wp:positionH>
          <wp:positionV relativeFrom="paragraph">
            <wp:posOffset>-58437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otham Book" w:hAnsi="Gotham Book"/>
        <w:sz w:val="36"/>
        <w:szCs w:val="48"/>
      </w:rPr>
      <w:t xml:space="preserve">                Tarjetas de reconstrucción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9F"/>
    <w:rsid w:val="003666F6"/>
    <w:rsid w:val="004045EA"/>
    <w:rsid w:val="004861D3"/>
    <w:rsid w:val="00490A68"/>
    <w:rsid w:val="006B5765"/>
    <w:rsid w:val="00726CF2"/>
    <w:rsid w:val="008936B6"/>
    <w:rsid w:val="008B4F1A"/>
    <w:rsid w:val="009030B1"/>
    <w:rsid w:val="00A13E59"/>
    <w:rsid w:val="00A820FF"/>
    <w:rsid w:val="00AB1E20"/>
    <w:rsid w:val="00B05C26"/>
    <w:rsid w:val="00B11462"/>
    <w:rsid w:val="00B65685"/>
    <w:rsid w:val="00B96278"/>
    <w:rsid w:val="00BB1842"/>
    <w:rsid w:val="00C022EE"/>
    <w:rsid w:val="00DD1663"/>
    <w:rsid w:val="00DF6D9F"/>
    <w:rsid w:val="00EA0AF8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58960"/>
  <w15:chartTrackingRefBased/>
  <w15:docId w15:val="{A044ED17-1C90-43F2-AC4A-71375A9C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E20"/>
  </w:style>
  <w:style w:type="paragraph" w:styleId="Heading1">
    <w:name w:val="heading 1"/>
    <w:basedOn w:val="Normal"/>
    <w:next w:val="Normal"/>
    <w:link w:val="Heading1Char"/>
    <w:uiPriority w:val="9"/>
    <w:qFormat/>
    <w:rsid w:val="00DF6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D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D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D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D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D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D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D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D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D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D9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B1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1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E20"/>
  </w:style>
  <w:style w:type="paragraph" w:styleId="Footer">
    <w:name w:val="footer"/>
    <w:basedOn w:val="Normal"/>
    <w:link w:val="FooterChar"/>
    <w:uiPriority w:val="99"/>
    <w:unhideWhenUsed/>
    <w:rsid w:val="00AB1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E20"/>
  </w:style>
  <w:style w:type="character" w:styleId="PlaceholderText">
    <w:name w:val="Placeholder Text"/>
    <w:basedOn w:val="DefaultParagraphFont"/>
    <w:uiPriority w:val="99"/>
    <w:semiHidden/>
    <w:rsid w:val="006B576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63211E-7405-4325-BA61-EE5535716409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48A0245C-F7EC-4F95-9CE3-C70A63E2C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E336E3-6A07-4677-AB5A-485063F7D3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2025-10-14T20:41:00Z</dcterms:created>
  <dcterms:modified xsi:type="dcterms:W3CDTF">2026-03-26T16:25:00Z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