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EC56" w14:textId="1FF4720D" w:rsidR="00C56B0E" w:rsidRPr="00C56B0E" w:rsidRDefault="00C56B0E" w:rsidP="00C56B0E">
      <w:pPr>
        <w:spacing w:after="0"/>
      </w:pPr>
      <w:bookmarkStart w:id="0" w:name="_Hlk199950805"/>
      <w:bookmarkEnd w:id="0"/>
      <w:r w:rsidRPr="00C7059C">
        <w:rPr>
          <w:noProof/>
        </w:rPr>
        <w:drawing>
          <wp:inline distT="0" distB="0" distL="0" distR="0" wp14:anchorId="4CACDFF2" wp14:editId="1F1819F0">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C7059C">
        <w:rPr>
          <w:b/>
          <w:bCs/>
          <w:i/>
          <w:iCs/>
          <w:sz w:val="52"/>
          <w:szCs w:val="200"/>
        </w:rPr>
        <w:t>Warm-up:</w:t>
      </w:r>
      <w:r w:rsidRPr="00C7059C">
        <w:rPr>
          <w:sz w:val="52"/>
          <w:szCs w:val="200"/>
        </w:rPr>
        <w:t xml:space="preserve"> </w:t>
      </w:r>
      <w:r>
        <w:rPr>
          <w:sz w:val="46"/>
          <w:szCs w:val="144"/>
        </w:rPr>
        <w:t>Texas Today</w:t>
      </w:r>
    </w:p>
    <w:p w14:paraId="2E9567D9" w14:textId="2EB48716" w:rsidR="00C56B0E" w:rsidRPr="00C7059C" w:rsidRDefault="00C56B0E" w:rsidP="00C56B0E">
      <w:pPr>
        <w:spacing w:after="0" w:line="360" w:lineRule="auto"/>
        <w:jc w:val="center"/>
        <w:rPr>
          <w:i/>
          <w:iCs/>
          <w:color w:val="595959" w:themeColor="text1" w:themeTint="A6"/>
          <w:sz w:val="36"/>
          <w:szCs w:val="36"/>
        </w:rPr>
      </w:pPr>
      <w:r w:rsidRPr="00C7059C">
        <w:rPr>
          <w:i/>
          <w:iCs/>
          <w:color w:val="595959" w:themeColor="text1" w:themeTint="A6"/>
          <w:sz w:val="36"/>
          <w:szCs w:val="36"/>
        </w:rPr>
        <w:t xml:space="preserve">Unit </w:t>
      </w:r>
      <w:r>
        <w:rPr>
          <w:i/>
          <w:iCs/>
          <w:color w:val="595959" w:themeColor="text1" w:themeTint="A6"/>
          <w:sz w:val="36"/>
          <w:szCs w:val="36"/>
        </w:rPr>
        <w:t>6</w:t>
      </w:r>
      <w:r w:rsidRPr="00C7059C">
        <w:rPr>
          <w:i/>
          <w:iCs/>
          <w:color w:val="595959" w:themeColor="text1" w:themeTint="A6"/>
          <w:sz w:val="36"/>
          <w:szCs w:val="36"/>
        </w:rPr>
        <w:t>:</w:t>
      </w:r>
      <w:r>
        <w:rPr>
          <w:i/>
          <w:iCs/>
          <w:color w:val="595959" w:themeColor="text1" w:themeTint="A6"/>
          <w:sz w:val="36"/>
          <w:szCs w:val="36"/>
        </w:rPr>
        <w:t xml:space="preserve"> The Republic of Texas </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C56B0E" w:rsidRPr="00C7059C" w14:paraId="4A999AF6" w14:textId="77777777" w:rsidTr="00CB6C55">
        <w:trPr>
          <w:trHeight w:val="501"/>
        </w:trPr>
        <w:tc>
          <w:tcPr>
            <w:tcW w:w="1122" w:type="dxa"/>
            <w:tcBorders>
              <w:top w:val="nil"/>
              <w:left w:val="nil"/>
              <w:bottom w:val="nil"/>
              <w:right w:val="single" w:sz="4" w:space="0" w:color="auto"/>
            </w:tcBorders>
            <w:vAlign w:val="bottom"/>
          </w:tcPr>
          <w:p w14:paraId="34BDCA0C" w14:textId="77777777" w:rsidR="00C56B0E" w:rsidRPr="00C7059C" w:rsidRDefault="00C56B0E" w:rsidP="00CB6C55">
            <w:r w:rsidRPr="00C7059C">
              <w:t>Name:</w:t>
            </w:r>
          </w:p>
        </w:tc>
        <w:tc>
          <w:tcPr>
            <w:tcW w:w="4718" w:type="dxa"/>
            <w:tcBorders>
              <w:left w:val="single" w:sz="4" w:space="0" w:color="auto"/>
              <w:right w:val="single" w:sz="4" w:space="0" w:color="auto"/>
            </w:tcBorders>
            <w:vAlign w:val="bottom"/>
          </w:tcPr>
          <w:p w14:paraId="6FFCFC82" w14:textId="77777777" w:rsidR="00C56B0E" w:rsidRPr="00C7059C" w:rsidRDefault="00C56B0E" w:rsidP="00CB6C55"/>
        </w:tc>
        <w:tc>
          <w:tcPr>
            <w:tcW w:w="960" w:type="dxa"/>
            <w:tcBorders>
              <w:top w:val="nil"/>
              <w:left w:val="single" w:sz="4" w:space="0" w:color="auto"/>
              <w:bottom w:val="nil"/>
              <w:right w:val="single" w:sz="4" w:space="0" w:color="auto"/>
            </w:tcBorders>
            <w:vAlign w:val="bottom"/>
          </w:tcPr>
          <w:p w14:paraId="576FF25F" w14:textId="77777777" w:rsidR="00C56B0E" w:rsidRPr="00C7059C" w:rsidRDefault="00C56B0E" w:rsidP="00CB6C55">
            <w:r w:rsidRPr="00C7059C">
              <w:t>Date:</w:t>
            </w:r>
          </w:p>
        </w:tc>
        <w:tc>
          <w:tcPr>
            <w:tcW w:w="1553" w:type="dxa"/>
            <w:tcBorders>
              <w:left w:val="single" w:sz="4" w:space="0" w:color="auto"/>
              <w:right w:val="single" w:sz="4" w:space="0" w:color="auto"/>
            </w:tcBorders>
            <w:vAlign w:val="bottom"/>
          </w:tcPr>
          <w:p w14:paraId="7CB21D1F" w14:textId="77777777" w:rsidR="00C56B0E" w:rsidRPr="00C7059C" w:rsidRDefault="00C56B0E" w:rsidP="00CB6C55"/>
        </w:tc>
        <w:tc>
          <w:tcPr>
            <w:tcW w:w="1175" w:type="dxa"/>
            <w:tcBorders>
              <w:top w:val="nil"/>
              <w:left w:val="single" w:sz="4" w:space="0" w:color="auto"/>
              <w:bottom w:val="nil"/>
              <w:right w:val="single" w:sz="4" w:space="0" w:color="auto"/>
            </w:tcBorders>
            <w:vAlign w:val="bottom"/>
          </w:tcPr>
          <w:p w14:paraId="58141CB4" w14:textId="77777777" w:rsidR="00C56B0E" w:rsidRPr="00C7059C" w:rsidRDefault="00C56B0E" w:rsidP="00CB6C55">
            <w:r w:rsidRPr="00C7059C">
              <w:t xml:space="preserve"> Period:</w:t>
            </w:r>
          </w:p>
        </w:tc>
        <w:tc>
          <w:tcPr>
            <w:tcW w:w="746" w:type="dxa"/>
            <w:tcBorders>
              <w:left w:val="single" w:sz="4" w:space="0" w:color="auto"/>
            </w:tcBorders>
            <w:vAlign w:val="bottom"/>
          </w:tcPr>
          <w:p w14:paraId="169E1BB5" w14:textId="77777777" w:rsidR="00C56B0E" w:rsidRPr="00C7059C" w:rsidRDefault="00C56B0E" w:rsidP="00CB6C55"/>
        </w:tc>
      </w:tr>
    </w:tbl>
    <w:p w14:paraId="1A662D6B" w14:textId="0765E9BB" w:rsidR="00BD548F" w:rsidRPr="00C56B0E" w:rsidRDefault="00BD548F">
      <w:pPr>
        <w:rPr>
          <w:sz w:val="2"/>
          <w:szCs w:val="2"/>
        </w:rPr>
      </w:pPr>
    </w:p>
    <w:p w14:paraId="7CC6DF0C" w14:textId="246AED8E" w:rsidR="00C56B0E" w:rsidRDefault="00C56B0E">
      <w:r w:rsidRPr="00C56B0E">
        <w:rPr>
          <w:b/>
          <w:bCs/>
          <w:i/>
          <w:iCs/>
        </w:rPr>
        <w:t>Directions</w:t>
      </w:r>
      <w:r>
        <w:t>: Answer as many of the questions as you can based on the information provided.</w:t>
      </w:r>
    </w:p>
    <w:tbl>
      <w:tblPr>
        <w:tblStyle w:val="TableGrid"/>
        <w:tblW w:w="0" w:type="auto"/>
        <w:tblLook w:val="04A0" w:firstRow="1" w:lastRow="0" w:firstColumn="1" w:lastColumn="0" w:noHBand="0" w:noVBand="1"/>
      </w:tblPr>
      <w:tblGrid>
        <w:gridCol w:w="6025"/>
        <w:gridCol w:w="4230"/>
      </w:tblGrid>
      <w:tr w:rsidR="00BD548F" w14:paraId="57E0600E" w14:textId="77777777" w:rsidTr="00C56B0E">
        <w:trPr>
          <w:trHeight w:val="4022"/>
        </w:trPr>
        <w:tc>
          <w:tcPr>
            <w:tcW w:w="6025" w:type="dxa"/>
          </w:tcPr>
          <w:p w14:paraId="61587DE4" w14:textId="77777777" w:rsidR="00C56B0E" w:rsidRDefault="00C56B0E">
            <w:r>
              <w:t xml:space="preserve">What do you observe about this map? </w:t>
            </w:r>
          </w:p>
          <w:p w14:paraId="27F02C9C" w14:textId="6D993B45" w:rsidR="00C56B0E" w:rsidRDefault="00C56B0E">
            <w:r>
              <w:t xml:space="preserve">What </w:t>
            </w:r>
            <w:r w:rsidR="00351114">
              <w:t>do you think is</w:t>
            </w:r>
            <w:r>
              <w:t xml:space="preserve"> the purpose of the map?</w:t>
            </w:r>
          </w:p>
          <w:p w14:paraId="231C3AC9" w14:textId="19CEB0D0" w:rsidR="00C56B0E" w:rsidRDefault="00C56B0E">
            <w:r>
              <w:t>What inferences can you make based on this map?</w:t>
            </w:r>
          </w:p>
          <w:p w14:paraId="27E0695A" w14:textId="7ECBB719" w:rsidR="00C56B0E" w:rsidRDefault="00C56B0E">
            <w:r>
              <w:t xml:space="preserve">How </w:t>
            </w:r>
            <w:r w:rsidR="00351114">
              <w:t>might</w:t>
            </w:r>
            <w:r>
              <w:t xml:space="preserve"> this map relate to our unit?</w:t>
            </w:r>
          </w:p>
          <w:p w14:paraId="598C551E" w14:textId="2A9A957F" w:rsidR="00BD548F" w:rsidRDefault="00BD548F"/>
        </w:tc>
        <w:tc>
          <w:tcPr>
            <w:tcW w:w="4230" w:type="dxa"/>
          </w:tcPr>
          <w:p w14:paraId="77AA35D7" w14:textId="11EE4157" w:rsidR="00BD548F" w:rsidRDefault="00BD548F">
            <w:r w:rsidRPr="00BD548F">
              <w:rPr>
                <w:noProof/>
              </w:rPr>
              <w:drawing>
                <wp:inline distT="0" distB="0" distL="0" distR="0" wp14:anchorId="7C4D62D8" wp14:editId="0E231480">
                  <wp:extent cx="2414203" cy="2503619"/>
                  <wp:effectExtent l="95250" t="19050" r="24765" b="87630"/>
                  <wp:docPr id="1821599564" name="Picture 1" descr="A map titled &quot;Permanent School Fund Lands (Public Lands). It shows a map of Texas with shaded portions in black. The majority of the Mountains and Basins region is shaded black. There are large portions across the state shaded black, specifically in east Texas, south Texas, and shading sprinkled throughout the North Central Plains and Great Plains. The key at the bottom of the map states, &quot;Shaded black portions represent public land owned, managed, and leased by the Texas govern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99564" name="Picture 1" descr="A map titled &quot;Permanent School Fund Lands (Public Lands). It shows a map of Texas with shaded portions in black. The majority of the Mountains and Basins region is shaded black. There are large portions across the state shaded black, specifically in east Texas, south Texas, and shading sprinkled throughout the North Central Plains and Great Plains. The key at the bottom of the map states, &quot;Shaded black portions represent public land owned, managed, and leased by the Texas government.&quot;"/>
                          <pic:cNvPicPr/>
                        </pic:nvPicPr>
                        <pic:blipFill>
                          <a:blip r:embed="rId6"/>
                          <a:stretch>
                            <a:fillRect/>
                          </a:stretch>
                        </pic:blipFill>
                        <pic:spPr>
                          <a:xfrm>
                            <a:off x="0" y="0"/>
                            <a:ext cx="2437053" cy="2527316"/>
                          </a:xfrm>
                          <a:prstGeom prst="rect">
                            <a:avLst/>
                          </a:prstGeom>
                          <a:effectLst>
                            <a:outerShdw blurRad="50800" dist="50800" dir="7920000" algn="ctr" rotWithShape="0">
                              <a:srgbClr val="000000">
                                <a:alpha val="43137"/>
                              </a:srgbClr>
                            </a:outerShdw>
                          </a:effectLst>
                        </pic:spPr>
                      </pic:pic>
                    </a:graphicData>
                  </a:graphic>
                </wp:inline>
              </w:drawing>
            </w:r>
          </w:p>
        </w:tc>
      </w:tr>
    </w:tbl>
    <w:p w14:paraId="6BAE682C" w14:textId="77777777" w:rsidR="00BD548F" w:rsidRDefault="00BD548F"/>
    <w:p w14:paraId="50C87B34" w14:textId="7A65482B" w:rsidR="00C56B0E" w:rsidRPr="00C56B0E" w:rsidRDefault="00C56B0E" w:rsidP="00C56B0E">
      <w:pPr>
        <w:spacing w:after="0"/>
      </w:pPr>
      <w:r w:rsidRPr="00C7059C">
        <w:rPr>
          <w:noProof/>
        </w:rPr>
        <w:drawing>
          <wp:anchor distT="0" distB="0" distL="114300" distR="114300" simplePos="0" relativeHeight="251658240" behindDoc="1" locked="0" layoutInCell="1" allowOverlap="1" wp14:anchorId="5E15FE4E" wp14:editId="593BC176">
            <wp:simplePos x="0" y="0"/>
            <wp:positionH relativeFrom="column">
              <wp:posOffset>0</wp:posOffset>
            </wp:positionH>
            <wp:positionV relativeFrom="paragraph">
              <wp:posOffset>2204</wp:posOffset>
            </wp:positionV>
            <wp:extent cx="590550" cy="542809"/>
            <wp:effectExtent l="0" t="0" r="0" b="0"/>
            <wp:wrapNone/>
            <wp:docPr id="207463039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                                                      </w:t>
      </w:r>
      <w:r w:rsidRPr="00C7059C">
        <w:rPr>
          <w:b/>
          <w:bCs/>
          <w:i/>
          <w:iCs/>
          <w:sz w:val="52"/>
          <w:szCs w:val="200"/>
        </w:rPr>
        <w:t>Warm-up:</w:t>
      </w:r>
      <w:r w:rsidRPr="00C7059C">
        <w:rPr>
          <w:sz w:val="52"/>
          <w:szCs w:val="200"/>
        </w:rPr>
        <w:t xml:space="preserve"> </w:t>
      </w:r>
      <w:r>
        <w:rPr>
          <w:sz w:val="46"/>
          <w:szCs w:val="144"/>
        </w:rPr>
        <w:t>Texas Today</w:t>
      </w:r>
    </w:p>
    <w:p w14:paraId="362B5BBF" w14:textId="77777777" w:rsidR="00C56B0E" w:rsidRPr="00C7059C" w:rsidRDefault="00C56B0E" w:rsidP="00C56B0E">
      <w:pPr>
        <w:spacing w:after="0" w:line="360" w:lineRule="auto"/>
        <w:jc w:val="center"/>
        <w:rPr>
          <w:i/>
          <w:iCs/>
          <w:color w:val="595959" w:themeColor="text1" w:themeTint="A6"/>
          <w:sz w:val="36"/>
          <w:szCs w:val="36"/>
        </w:rPr>
      </w:pPr>
      <w:r w:rsidRPr="00C7059C">
        <w:rPr>
          <w:i/>
          <w:iCs/>
          <w:color w:val="595959" w:themeColor="text1" w:themeTint="A6"/>
          <w:sz w:val="36"/>
          <w:szCs w:val="36"/>
        </w:rPr>
        <w:t xml:space="preserve">Unit </w:t>
      </w:r>
      <w:r>
        <w:rPr>
          <w:i/>
          <w:iCs/>
          <w:color w:val="595959" w:themeColor="text1" w:themeTint="A6"/>
          <w:sz w:val="36"/>
          <w:szCs w:val="36"/>
        </w:rPr>
        <w:t>6</w:t>
      </w:r>
      <w:r w:rsidRPr="00C7059C">
        <w:rPr>
          <w:i/>
          <w:iCs/>
          <w:color w:val="595959" w:themeColor="text1" w:themeTint="A6"/>
          <w:sz w:val="36"/>
          <w:szCs w:val="36"/>
        </w:rPr>
        <w:t>:</w:t>
      </w:r>
      <w:r>
        <w:rPr>
          <w:i/>
          <w:iCs/>
          <w:color w:val="595959" w:themeColor="text1" w:themeTint="A6"/>
          <w:sz w:val="36"/>
          <w:szCs w:val="36"/>
        </w:rPr>
        <w:t xml:space="preserve"> The Republic of Texas </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C56B0E" w:rsidRPr="00C7059C" w14:paraId="5A620784" w14:textId="77777777" w:rsidTr="00CB6C55">
        <w:trPr>
          <w:trHeight w:val="501"/>
        </w:trPr>
        <w:tc>
          <w:tcPr>
            <w:tcW w:w="1122" w:type="dxa"/>
            <w:tcBorders>
              <w:top w:val="nil"/>
              <w:left w:val="nil"/>
              <w:bottom w:val="nil"/>
              <w:right w:val="single" w:sz="4" w:space="0" w:color="auto"/>
            </w:tcBorders>
            <w:vAlign w:val="bottom"/>
          </w:tcPr>
          <w:p w14:paraId="386B90C5" w14:textId="77777777" w:rsidR="00C56B0E" w:rsidRPr="00C7059C" w:rsidRDefault="00C56B0E" w:rsidP="00CB6C55">
            <w:r w:rsidRPr="00C7059C">
              <w:t>Name:</w:t>
            </w:r>
          </w:p>
        </w:tc>
        <w:tc>
          <w:tcPr>
            <w:tcW w:w="4718" w:type="dxa"/>
            <w:tcBorders>
              <w:left w:val="single" w:sz="4" w:space="0" w:color="auto"/>
              <w:right w:val="single" w:sz="4" w:space="0" w:color="auto"/>
            </w:tcBorders>
            <w:vAlign w:val="bottom"/>
          </w:tcPr>
          <w:p w14:paraId="119D9C01" w14:textId="77777777" w:rsidR="00C56B0E" w:rsidRPr="00C7059C" w:rsidRDefault="00C56B0E" w:rsidP="00CB6C55"/>
        </w:tc>
        <w:tc>
          <w:tcPr>
            <w:tcW w:w="960" w:type="dxa"/>
            <w:tcBorders>
              <w:top w:val="nil"/>
              <w:left w:val="single" w:sz="4" w:space="0" w:color="auto"/>
              <w:bottom w:val="nil"/>
              <w:right w:val="single" w:sz="4" w:space="0" w:color="auto"/>
            </w:tcBorders>
            <w:vAlign w:val="bottom"/>
          </w:tcPr>
          <w:p w14:paraId="66767BF2" w14:textId="77777777" w:rsidR="00C56B0E" w:rsidRPr="00C7059C" w:rsidRDefault="00C56B0E" w:rsidP="00CB6C55">
            <w:r w:rsidRPr="00C7059C">
              <w:t>Date:</w:t>
            </w:r>
          </w:p>
        </w:tc>
        <w:tc>
          <w:tcPr>
            <w:tcW w:w="1553" w:type="dxa"/>
            <w:tcBorders>
              <w:left w:val="single" w:sz="4" w:space="0" w:color="auto"/>
              <w:right w:val="single" w:sz="4" w:space="0" w:color="auto"/>
            </w:tcBorders>
            <w:vAlign w:val="bottom"/>
          </w:tcPr>
          <w:p w14:paraId="6A7DEBD9" w14:textId="77777777" w:rsidR="00C56B0E" w:rsidRPr="00C7059C" w:rsidRDefault="00C56B0E" w:rsidP="00CB6C55"/>
        </w:tc>
        <w:tc>
          <w:tcPr>
            <w:tcW w:w="1175" w:type="dxa"/>
            <w:tcBorders>
              <w:top w:val="nil"/>
              <w:left w:val="single" w:sz="4" w:space="0" w:color="auto"/>
              <w:bottom w:val="nil"/>
              <w:right w:val="single" w:sz="4" w:space="0" w:color="auto"/>
            </w:tcBorders>
            <w:vAlign w:val="bottom"/>
          </w:tcPr>
          <w:p w14:paraId="7BCDC41D" w14:textId="77777777" w:rsidR="00C56B0E" w:rsidRPr="00C7059C" w:rsidRDefault="00C56B0E" w:rsidP="00CB6C55">
            <w:r w:rsidRPr="00C7059C">
              <w:t xml:space="preserve"> Period:</w:t>
            </w:r>
          </w:p>
        </w:tc>
        <w:tc>
          <w:tcPr>
            <w:tcW w:w="746" w:type="dxa"/>
            <w:tcBorders>
              <w:left w:val="single" w:sz="4" w:space="0" w:color="auto"/>
            </w:tcBorders>
            <w:vAlign w:val="bottom"/>
          </w:tcPr>
          <w:p w14:paraId="1FE97609" w14:textId="77777777" w:rsidR="00C56B0E" w:rsidRPr="00C7059C" w:rsidRDefault="00C56B0E" w:rsidP="00CB6C55"/>
        </w:tc>
      </w:tr>
    </w:tbl>
    <w:p w14:paraId="7DC74165" w14:textId="77777777" w:rsidR="00C56B0E" w:rsidRPr="00C56B0E" w:rsidRDefault="00C56B0E" w:rsidP="00C56B0E">
      <w:pPr>
        <w:rPr>
          <w:sz w:val="2"/>
          <w:szCs w:val="2"/>
        </w:rPr>
      </w:pPr>
    </w:p>
    <w:p w14:paraId="6024B5DA" w14:textId="77777777" w:rsidR="00C56B0E" w:rsidRDefault="00C56B0E" w:rsidP="00C56B0E">
      <w:r w:rsidRPr="00C56B0E">
        <w:rPr>
          <w:b/>
          <w:bCs/>
          <w:i/>
          <w:iCs/>
        </w:rPr>
        <w:t>Directions</w:t>
      </w:r>
      <w:r>
        <w:t>: Answer as many of the questions as you can based on the information provided.</w:t>
      </w:r>
    </w:p>
    <w:tbl>
      <w:tblPr>
        <w:tblStyle w:val="TableGrid"/>
        <w:tblW w:w="0" w:type="auto"/>
        <w:tblLook w:val="04A0" w:firstRow="1" w:lastRow="0" w:firstColumn="1" w:lastColumn="0" w:noHBand="0" w:noVBand="1"/>
      </w:tblPr>
      <w:tblGrid>
        <w:gridCol w:w="6025"/>
        <w:gridCol w:w="4230"/>
      </w:tblGrid>
      <w:tr w:rsidR="00C56B0E" w14:paraId="631D0F88" w14:textId="77777777" w:rsidTr="00C56B0E">
        <w:trPr>
          <w:trHeight w:val="4076"/>
        </w:trPr>
        <w:tc>
          <w:tcPr>
            <w:tcW w:w="6025" w:type="dxa"/>
          </w:tcPr>
          <w:p w14:paraId="7B615744" w14:textId="77777777" w:rsidR="00C56B0E" w:rsidRDefault="00C56B0E" w:rsidP="00CB6C55">
            <w:r>
              <w:t xml:space="preserve">What do you observe about this map? </w:t>
            </w:r>
          </w:p>
          <w:p w14:paraId="605DBB32" w14:textId="2C0FA283" w:rsidR="00C56B0E" w:rsidRDefault="00C56B0E" w:rsidP="00CB6C55">
            <w:r>
              <w:t xml:space="preserve">What </w:t>
            </w:r>
            <w:r w:rsidR="00351114">
              <w:t xml:space="preserve">do you think </w:t>
            </w:r>
            <w:r>
              <w:t>is the purpose of the map?</w:t>
            </w:r>
          </w:p>
          <w:p w14:paraId="06E351CC" w14:textId="77777777" w:rsidR="00C56B0E" w:rsidRDefault="00C56B0E" w:rsidP="00CB6C55">
            <w:r>
              <w:t>What inferences can you make based on this map?</w:t>
            </w:r>
          </w:p>
          <w:p w14:paraId="59C5B069" w14:textId="2C8C697D" w:rsidR="00C56B0E" w:rsidRDefault="00C56B0E" w:rsidP="00CB6C55">
            <w:r>
              <w:t xml:space="preserve">How </w:t>
            </w:r>
            <w:r w:rsidR="00351114">
              <w:t>might</w:t>
            </w:r>
            <w:r>
              <w:t xml:space="preserve"> this map relate to our unit?</w:t>
            </w:r>
          </w:p>
          <w:p w14:paraId="100D99EB" w14:textId="77777777" w:rsidR="00C56B0E" w:rsidRDefault="00C56B0E" w:rsidP="00CB6C55"/>
          <w:p w14:paraId="74D683D1" w14:textId="77777777" w:rsidR="00C56B0E" w:rsidRDefault="00C56B0E" w:rsidP="00CB6C55"/>
        </w:tc>
        <w:tc>
          <w:tcPr>
            <w:tcW w:w="4230" w:type="dxa"/>
          </w:tcPr>
          <w:p w14:paraId="648BD2A6" w14:textId="77777777" w:rsidR="00C56B0E" w:rsidRDefault="00C56B0E" w:rsidP="00CB6C55">
            <w:r w:rsidRPr="00BD548F">
              <w:rPr>
                <w:noProof/>
              </w:rPr>
              <w:drawing>
                <wp:inline distT="0" distB="0" distL="0" distR="0" wp14:anchorId="365253DD" wp14:editId="1114C996">
                  <wp:extent cx="2388269" cy="2476724"/>
                  <wp:effectExtent l="95250" t="19050" r="12065" b="95250"/>
                  <wp:docPr id="2059846486" name="Picture 1" descr="A map titled &quot;Permanent School Fund Lands (Public Lands). It shows a map of Texas with shaded portions in black. The majority of the Mountains and Basins region is shaded black. There are large portions across the state shaded black, specifically in east Texas, south Texas, and shading sprinkled throughout the North Central Plains and Great Plains. The key at the bottom of the map states, &quot;Shaded black portions represent public land owned, managed, and leased by the Texas govern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46486" name="Picture 1" descr="A map titled &quot;Permanent School Fund Lands (Public Lands). It shows a map of Texas with shaded portions in black. The majority of the Mountains and Basins region is shaded black. There are large portions across the state shaded black, specifically in east Texas, south Texas, and shading sprinkled throughout the North Central Plains and Great Plains. The key at the bottom of the map states, &quot;Shaded black portions represent public land owned, managed, and leased by the Texas government.&quot;"/>
                          <pic:cNvPicPr/>
                        </pic:nvPicPr>
                        <pic:blipFill>
                          <a:blip r:embed="rId6"/>
                          <a:stretch>
                            <a:fillRect/>
                          </a:stretch>
                        </pic:blipFill>
                        <pic:spPr>
                          <a:xfrm>
                            <a:off x="0" y="0"/>
                            <a:ext cx="2412671" cy="2502030"/>
                          </a:xfrm>
                          <a:prstGeom prst="rect">
                            <a:avLst/>
                          </a:prstGeom>
                          <a:effectLst>
                            <a:outerShdw blurRad="50800" dist="50800" dir="7920000" algn="ctr" rotWithShape="0">
                              <a:srgbClr val="000000">
                                <a:alpha val="43137"/>
                              </a:srgbClr>
                            </a:outerShdw>
                          </a:effectLst>
                        </pic:spPr>
                      </pic:pic>
                    </a:graphicData>
                  </a:graphic>
                </wp:inline>
              </w:drawing>
            </w:r>
          </w:p>
        </w:tc>
      </w:tr>
    </w:tbl>
    <w:p w14:paraId="53B3A78E" w14:textId="77777777" w:rsidR="00C56B0E" w:rsidRPr="00C7059C" w:rsidRDefault="00C56B0E" w:rsidP="00C56B0E">
      <w:bookmarkStart w:id="1" w:name="_Hlk193898309"/>
      <w:r w:rsidRPr="00C7059C">
        <w:rPr>
          <w:noProof/>
          <w:sz w:val="18"/>
          <w:szCs w:val="18"/>
        </w:rPr>
        <w:lastRenderedPageBreak/>
        <w:drawing>
          <wp:anchor distT="0" distB="0" distL="114300" distR="114300" simplePos="0" relativeHeight="251660288" behindDoc="1" locked="0" layoutInCell="1" allowOverlap="1" wp14:anchorId="51EC4F87" wp14:editId="7FB5E167">
            <wp:simplePos x="0" y="0"/>
            <wp:positionH relativeFrom="margin">
              <wp:align>left</wp:align>
            </wp:positionH>
            <wp:positionV relativeFrom="paragraph">
              <wp:posOffset>65368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53C397D3" w14:textId="664398D2" w:rsidR="00C56B0E" w:rsidRPr="007A01DE" w:rsidRDefault="00C56B0E" w:rsidP="00E349AE">
      <w:pPr>
        <w:ind w:left="2160" w:firstLine="720"/>
        <w:rPr>
          <w:b/>
          <w:bCs/>
          <w:i/>
          <w:iCs/>
          <w:sz w:val="44"/>
          <w:szCs w:val="40"/>
        </w:rPr>
      </w:pPr>
      <w:bookmarkStart w:id="2" w:name="_Hlk187049074"/>
      <w:r w:rsidRPr="00E349AE">
        <w:rPr>
          <w:sz w:val="40"/>
          <w:szCs w:val="40"/>
        </w:rPr>
        <w:t>Texas Today</w:t>
      </w:r>
      <w:r w:rsidRPr="00C7059C">
        <w:rPr>
          <w:b/>
          <w:bCs/>
          <w:i/>
          <w:iCs/>
          <w:sz w:val="46"/>
          <w:szCs w:val="44"/>
        </w:rPr>
        <w:t xml:space="preserve"> </w:t>
      </w:r>
      <w:r w:rsidRPr="00E349AE">
        <w:rPr>
          <w:b/>
          <w:bCs/>
          <w:i/>
          <w:iCs/>
          <w:sz w:val="48"/>
          <w:szCs w:val="48"/>
        </w:rPr>
        <w:t>Exit Ticket</w:t>
      </w:r>
      <w:bookmarkEnd w:id="1"/>
      <w:bookmarkEnd w:id="2"/>
    </w:p>
    <w:tbl>
      <w:tblPr>
        <w:tblStyle w:val="TableGrid"/>
        <w:tblW w:w="0" w:type="auto"/>
        <w:tblLook w:val="04A0" w:firstRow="1" w:lastRow="0" w:firstColumn="1" w:lastColumn="0" w:noHBand="0" w:noVBand="1"/>
      </w:tblPr>
      <w:tblGrid>
        <w:gridCol w:w="10790"/>
      </w:tblGrid>
      <w:tr w:rsidR="007A01DE" w14:paraId="07939B88" w14:textId="77777777">
        <w:tc>
          <w:tcPr>
            <w:tcW w:w="10790" w:type="dxa"/>
          </w:tcPr>
          <w:p w14:paraId="793AAE9E" w14:textId="77777777" w:rsidR="007A01DE" w:rsidRPr="007A01DE" w:rsidRDefault="007A01DE" w:rsidP="007A01DE">
            <w:pPr>
              <w:spacing w:line="360" w:lineRule="auto"/>
              <w:rPr>
                <w:sz w:val="10"/>
                <w:szCs w:val="10"/>
              </w:rPr>
            </w:pPr>
          </w:p>
          <w:p w14:paraId="2A7763C4" w14:textId="73AAC454" w:rsidR="007A01DE" w:rsidRDefault="007A01DE" w:rsidP="007A01DE">
            <w:pPr>
              <w:spacing w:line="360" w:lineRule="auto"/>
            </w:pPr>
            <w:r>
              <w:t>“</w:t>
            </w:r>
            <w:r w:rsidRPr="007A01DE">
              <w:t>In 1844, Texas submitted a treaty of annexation to the United States Congress. Under its terms, Texas would have given 175,000,000 acres of public land to the United States government and the United States would have assumed Texas's debts of $10,000,000. The United States Congress rejected the treaty on grounds that the Texas public domain was not worth $10,000,000</w:t>
            </w:r>
            <w:r>
              <w:t>.”</w:t>
            </w:r>
          </w:p>
          <w:p w14:paraId="5673E587" w14:textId="77777777" w:rsidR="007A01DE" w:rsidRPr="007A01DE" w:rsidRDefault="007A01DE" w:rsidP="00C56B0E">
            <w:pPr>
              <w:rPr>
                <w:sz w:val="8"/>
                <w:szCs w:val="8"/>
              </w:rPr>
            </w:pPr>
          </w:p>
          <w:p w14:paraId="2985A83B" w14:textId="13440CCD" w:rsidR="007A01DE" w:rsidRDefault="007A01DE" w:rsidP="007A01DE">
            <w:pPr>
              <w:pStyle w:val="ListParagraph"/>
              <w:numPr>
                <w:ilvl w:val="0"/>
                <w:numId w:val="2"/>
              </w:numPr>
            </w:pPr>
            <w:r w:rsidRPr="00011CFD">
              <w:t xml:space="preserve">“Understanding the Importance of Land in the History of Texas”   </w:t>
            </w:r>
            <w:r>
              <w:t xml:space="preserve">                      </w:t>
            </w:r>
            <w:r w:rsidRPr="00011CFD">
              <w:t xml:space="preserve"> Texas General Land Office, 2015</w:t>
            </w:r>
          </w:p>
        </w:tc>
      </w:tr>
    </w:tbl>
    <w:p w14:paraId="2567A19C" w14:textId="77777777" w:rsidR="00C56B0E" w:rsidRPr="00516313" w:rsidRDefault="00C56B0E">
      <w:pPr>
        <w:rPr>
          <w:sz w:val="2"/>
          <w:szCs w:val="2"/>
        </w:rPr>
      </w:pPr>
    </w:p>
    <w:p w14:paraId="543A88A9" w14:textId="26903527" w:rsidR="00516313" w:rsidRPr="00516313" w:rsidRDefault="00516313">
      <w:r w:rsidRPr="00516313">
        <w:rPr>
          <w:b/>
          <w:bCs/>
          <w:i/>
          <w:iCs/>
        </w:rPr>
        <w:t>Directions</w:t>
      </w:r>
      <w:r>
        <w:t xml:space="preserve">: Circle or highlight the correct option in underlined in bold to complete the statement based on the excerpt above. </w:t>
      </w:r>
    </w:p>
    <w:p w14:paraId="567F0C82" w14:textId="590EB07E" w:rsidR="00C56B0E" w:rsidRDefault="00F24605" w:rsidP="00516313">
      <w:pPr>
        <w:pStyle w:val="ListParagraph"/>
        <w:numPr>
          <w:ilvl w:val="0"/>
          <w:numId w:val="6"/>
        </w:numPr>
        <w:spacing w:line="360" w:lineRule="auto"/>
      </w:pPr>
      <w:bookmarkStart w:id="3" w:name="_Hlk219284336"/>
      <w:r>
        <w:t xml:space="preserve">According to the excerpt above, the U.S. </w:t>
      </w:r>
      <w:r w:rsidRPr="00F24605">
        <w:rPr>
          <w:b/>
          <w:bCs/>
          <w:i/>
          <w:iCs/>
          <w:u w:val="single"/>
        </w:rPr>
        <w:t>rejected</w:t>
      </w:r>
      <w:r>
        <w:t xml:space="preserve"> / </w:t>
      </w:r>
      <w:r w:rsidRPr="00F24605">
        <w:rPr>
          <w:b/>
          <w:bCs/>
          <w:i/>
          <w:iCs/>
          <w:u w:val="single"/>
        </w:rPr>
        <w:t>accepted</w:t>
      </w:r>
      <w:r>
        <w:t xml:space="preserve"> Texas’ 1844 application for annexation because the U.S. government </w:t>
      </w:r>
      <w:r w:rsidRPr="00F24605">
        <w:rPr>
          <w:b/>
          <w:bCs/>
          <w:i/>
          <w:iCs/>
          <w:u w:val="single"/>
        </w:rPr>
        <w:t>wanted</w:t>
      </w:r>
      <w:r>
        <w:rPr>
          <w:b/>
          <w:bCs/>
          <w:i/>
          <w:iCs/>
        </w:rPr>
        <w:t xml:space="preserve"> </w:t>
      </w:r>
      <w:r>
        <w:rPr>
          <w:b/>
          <w:bCs/>
        </w:rPr>
        <w:t xml:space="preserve"> / </w:t>
      </w:r>
      <w:r w:rsidRPr="00F24605">
        <w:rPr>
          <w:b/>
          <w:bCs/>
          <w:i/>
          <w:iCs/>
          <w:u w:val="single"/>
        </w:rPr>
        <w:t>did not want</w:t>
      </w:r>
      <w:r>
        <w:t xml:space="preserve"> to take responsibility for Texas debt. The U.S. government </w:t>
      </w:r>
      <w:r w:rsidRPr="00F24605">
        <w:rPr>
          <w:b/>
          <w:bCs/>
          <w:i/>
          <w:iCs/>
          <w:u w:val="single"/>
        </w:rPr>
        <w:t>believed</w:t>
      </w:r>
      <w:r>
        <w:rPr>
          <w:b/>
          <w:bCs/>
          <w:i/>
          <w:iCs/>
        </w:rPr>
        <w:t xml:space="preserve"> </w:t>
      </w:r>
      <w:r>
        <w:t xml:space="preserve"> / </w:t>
      </w:r>
      <w:r w:rsidRPr="00F24605">
        <w:rPr>
          <w:b/>
          <w:bCs/>
          <w:i/>
          <w:iCs/>
          <w:u w:val="single"/>
        </w:rPr>
        <w:t>did not believe</w:t>
      </w:r>
      <w:r>
        <w:rPr>
          <w:b/>
          <w:bCs/>
          <w:i/>
          <w:iCs/>
        </w:rPr>
        <w:t xml:space="preserve"> </w:t>
      </w:r>
      <w:r>
        <w:t xml:space="preserve">that the millions of acres of Texas public land it would get would be worth enough to pay off Texas’ $10 million in debt. </w:t>
      </w:r>
    </w:p>
    <w:bookmarkEnd w:id="3"/>
    <w:p w14:paraId="10753B33" w14:textId="77777777" w:rsidR="00F24605" w:rsidRDefault="00F24605"/>
    <w:p w14:paraId="7C66B85E" w14:textId="77777777" w:rsidR="00F24605" w:rsidRPr="00C7059C" w:rsidRDefault="00F24605" w:rsidP="00F24605">
      <w:r w:rsidRPr="00C7059C">
        <w:rPr>
          <w:noProof/>
          <w:sz w:val="18"/>
          <w:szCs w:val="18"/>
        </w:rPr>
        <w:drawing>
          <wp:anchor distT="0" distB="0" distL="114300" distR="114300" simplePos="0" relativeHeight="251662336" behindDoc="1" locked="0" layoutInCell="1" allowOverlap="1" wp14:anchorId="6073FFA8" wp14:editId="39795B71">
            <wp:simplePos x="0" y="0"/>
            <wp:positionH relativeFrom="margin">
              <wp:align>left</wp:align>
            </wp:positionH>
            <wp:positionV relativeFrom="paragraph">
              <wp:posOffset>65368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34485882" name="Picture 234485882"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2303045E" w14:textId="77777777" w:rsidR="00E349AE" w:rsidRPr="007A01DE" w:rsidRDefault="00E349AE" w:rsidP="00E349AE">
      <w:pPr>
        <w:ind w:left="2880"/>
        <w:rPr>
          <w:b/>
          <w:bCs/>
          <w:i/>
          <w:iCs/>
          <w:sz w:val="44"/>
          <w:szCs w:val="40"/>
        </w:rPr>
      </w:pPr>
      <w:r w:rsidRPr="00E349AE">
        <w:rPr>
          <w:sz w:val="40"/>
          <w:szCs w:val="40"/>
        </w:rPr>
        <w:t>Texas Today</w:t>
      </w:r>
      <w:r w:rsidRPr="00C7059C">
        <w:rPr>
          <w:b/>
          <w:bCs/>
          <w:i/>
          <w:iCs/>
          <w:sz w:val="46"/>
          <w:szCs w:val="44"/>
        </w:rPr>
        <w:t xml:space="preserve"> </w:t>
      </w:r>
      <w:r w:rsidRPr="00E349AE">
        <w:rPr>
          <w:b/>
          <w:bCs/>
          <w:i/>
          <w:iCs/>
          <w:sz w:val="48"/>
          <w:szCs w:val="48"/>
        </w:rPr>
        <w:t>Exit Ticket</w:t>
      </w:r>
    </w:p>
    <w:tbl>
      <w:tblPr>
        <w:tblStyle w:val="TableGrid"/>
        <w:tblW w:w="0" w:type="auto"/>
        <w:tblLook w:val="04A0" w:firstRow="1" w:lastRow="0" w:firstColumn="1" w:lastColumn="0" w:noHBand="0" w:noVBand="1"/>
      </w:tblPr>
      <w:tblGrid>
        <w:gridCol w:w="10790"/>
      </w:tblGrid>
      <w:tr w:rsidR="00F24605" w14:paraId="542362A3" w14:textId="77777777" w:rsidTr="002753CB">
        <w:tc>
          <w:tcPr>
            <w:tcW w:w="10790" w:type="dxa"/>
          </w:tcPr>
          <w:p w14:paraId="40B1671A" w14:textId="77777777" w:rsidR="00F24605" w:rsidRPr="007A01DE" w:rsidRDefault="00F24605" w:rsidP="002753CB">
            <w:pPr>
              <w:spacing w:line="360" w:lineRule="auto"/>
              <w:rPr>
                <w:sz w:val="10"/>
                <w:szCs w:val="10"/>
              </w:rPr>
            </w:pPr>
          </w:p>
          <w:p w14:paraId="70CD28B5" w14:textId="77777777" w:rsidR="00F24605" w:rsidRDefault="00F24605" w:rsidP="002753CB">
            <w:pPr>
              <w:spacing w:line="360" w:lineRule="auto"/>
            </w:pPr>
            <w:r>
              <w:t>“</w:t>
            </w:r>
            <w:r w:rsidRPr="007A01DE">
              <w:t>In 1844, Texas submitted a treaty of annexation to the United States Congress. Under its terms, Texas would have given 175,000,000 acres of public land to the United States government and the United States would have assumed Texas's debts of $10,000,000. The United States Congress rejected the treaty on grounds that the Texas public domain was not worth $10,000,000</w:t>
            </w:r>
            <w:r>
              <w:t>.”</w:t>
            </w:r>
          </w:p>
          <w:p w14:paraId="099FA6E9" w14:textId="77777777" w:rsidR="00F24605" w:rsidRPr="007A01DE" w:rsidRDefault="00F24605" w:rsidP="002753CB">
            <w:pPr>
              <w:rPr>
                <w:sz w:val="8"/>
                <w:szCs w:val="8"/>
              </w:rPr>
            </w:pPr>
          </w:p>
          <w:p w14:paraId="4CD2F590" w14:textId="77777777" w:rsidR="00F24605" w:rsidRDefault="00F24605" w:rsidP="002753CB">
            <w:pPr>
              <w:pStyle w:val="ListParagraph"/>
              <w:numPr>
                <w:ilvl w:val="0"/>
                <w:numId w:val="2"/>
              </w:numPr>
            </w:pPr>
            <w:r w:rsidRPr="00011CFD">
              <w:t xml:space="preserve">“Understanding the Importance of Land in the History of Texas”   </w:t>
            </w:r>
            <w:r>
              <w:t xml:space="preserve">                      </w:t>
            </w:r>
            <w:r w:rsidRPr="00011CFD">
              <w:t xml:space="preserve"> Texas General Land Office, 2015</w:t>
            </w:r>
          </w:p>
        </w:tc>
      </w:tr>
    </w:tbl>
    <w:p w14:paraId="6C8BF26F" w14:textId="77777777" w:rsidR="00F24605" w:rsidRDefault="00F24605" w:rsidP="00F24605">
      <w:pPr>
        <w:rPr>
          <w:sz w:val="16"/>
          <w:szCs w:val="16"/>
        </w:rPr>
      </w:pPr>
    </w:p>
    <w:p w14:paraId="193F075C" w14:textId="7A6FBF96" w:rsidR="00516313" w:rsidRPr="00516313" w:rsidRDefault="00516313" w:rsidP="00F24605">
      <w:r w:rsidRPr="00516313">
        <w:rPr>
          <w:b/>
          <w:bCs/>
          <w:i/>
          <w:iCs/>
        </w:rPr>
        <w:t>Directions</w:t>
      </w:r>
      <w:r>
        <w:t xml:space="preserve">: Circle or highlight the correct option in underlined in bold to complete the statement based on the excerpt above. </w:t>
      </w:r>
    </w:p>
    <w:p w14:paraId="4FE089C1" w14:textId="573F37A5" w:rsidR="00F24605" w:rsidRDefault="00F24605" w:rsidP="00516313">
      <w:pPr>
        <w:pStyle w:val="ListParagraph"/>
        <w:numPr>
          <w:ilvl w:val="0"/>
          <w:numId w:val="7"/>
        </w:numPr>
        <w:spacing w:line="360" w:lineRule="auto"/>
      </w:pPr>
      <w:r>
        <w:t xml:space="preserve">According to the excerpt above, the U.S. </w:t>
      </w:r>
      <w:r w:rsidRPr="00516313">
        <w:rPr>
          <w:b/>
          <w:bCs/>
          <w:i/>
          <w:iCs/>
          <w:u w:val="single"/>
        </w:rPr>
        <w:t>rejected</w:t>
      </w:r>
      <w:r>
        <w:t xml:space="preserve"> / </w:t>
      </w:r>
      <w:r w:rsidRPr="00516313">
        <w:rPr>
          <w:b/>
          <w:bCs/>
          <w:i/>
          <w:iCs/>
          <w:u w:val="single"/>
        </w:rPr>
        <w:t>accepted</w:t>
      </w:r>
      <w:r>
        <w:t xml:space="preserve"> Texas’ 1844 application for annexation because the U.S. government </w:t>
      </w:r>
      <w:r w:rsidRPr="00516313">
        <w:rPr>
          <w:b/>
          <w:bCs/>
          <w:i/>
          <w:iCs/>
          <w:u w:val="single"/>
        </w:rPr>
        <w:t>wanted</w:t>
      </w:r>
      <w:r w:rsidRPr="00516313">
        <w:rPr>
          <w:b/>
          <w:bCs/>
          <w:i/>
          <w:iCs/>
        </w:rPr>
        <w:t xml:space="preserve"> </w:t>
      </w:r>
      <w:r w:rsidRPr="00516313">
        <w:rPr>
          <w:b/>
          <w:bCs/>
        </w:rPr>
        <w:t xml:space="preserve"> / </w:t>
      </w:r>
      <w:r w:rsidRPr="00516313">
        <w:rPr>
          <w:b/>
          <w:bCs/>
          <w:i/>
          <w:iCs/>
          <w:u w:val="single"/>
        </w:rPr>
        <w:t>did not want</w:t>
      </w:r>
      <w:r>
        <w:t xml:space="preserve"> to take responsibility for Texas debt. The U.S. government </w:t>
      </w:r>
      <w:r w:rsidRPr="00516313">
        <w:rPr>
          <w:b/>
          <w:bCs/>
          <w:i/>
          <w:iCs/>
          <w:u w:val="single"/>
        </w:rPr>
        <w:t>believed</w:t>
      </w:r>
      <w:r w:rsidRPr="00516313">
        <w:rPr>
          <w:b/>
          <w:bCs/>
          <w:i/>
          <w:iCs/>
        </w:rPr>
        <w:t xml:space="preserve"> </w:t>
      </w:r>
      <w:r>
        <w:t xml:space="preserve"> / </w:t>
      </w:r>
      <w:r w:rsidRPr="00516313">
        <w:rPr>
          <w:b/>
          <w:bCs/>
          <w:i/>
          <w:iCs/>
          <w:u w:val="single"/>
        </w:rPr>
        <w:t>did not believe</w:t>
      </w:r>
      <w:r w:rsidRPr="00516313">
        <w:rPr>
          <w:b/>
          <w:bCs/>
          <w:i/>
          <w:iCs/>
        </w:rPr>
        <w:t xml:space="preserve"> </w:t>
      </w:r>
      <w:r>
        <w:t xml:space="preserve">that the millions of acres of Texas public land it would get would be worth enough to pay off Texas’ $10 million in debt. </w:t>
      </w:r>
    </w:p>
    <w:p w14:paraId="65FA95D6" w14:textId="1D1515EF" w:rsidR="00BD548F" w:rsidRDefault="00BD548F"/>
    <w:sectPr w:rsidR="00BD548F" w:rsidSect="00C56B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D397D"/>
    <w:multiLevelType w:val="hybridMultilevel"/>
    <w:tmpl w:val="A59CE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4521E"/>
    <w:multiLevelType w:val="hybridMultilevel"/>
    <w:tmpl w:val="64768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44FCC"/>
    <w:multiLevelType w:val="hybridMultilevel"/>
    <w:tmpl w:val="29260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13ECF"/>
    <w:multiLevelType w:val="hybridMultilevel"/>
    <w:tmpl w:val="4586B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12140"/>
    <w:multiLevelType w:val="hybridMultilevel"/>
    <w:tmpl w:val="4E822436"/>
    <w:lvl w:ilvl="0" w:tplc="77C2B9CC">
      <w:numFmt w:val="bullet"/>
      <w:lvlText w:val="-"/>
      <w:lvlJc w:val="left"/>
      <w:pPr>
        <w:ind w:left="3160" w:hanging="360"/>
      </w:pPr>
      <w:rPr>
        <w:rFonts w:ascii="Gotham Book" w:eastAsiaTheme="minorHAnsi" w:hAnsi="Gotham Book" w:cstheme="minorBidi" w:hint="default"/>
      </w:rPr>
    </w:lvl>
    <w:lvl w:ilvl="1" w:tplc="04090003" w:tentative="1">
      <w:start w:val="1"/>
      <w:numFmt w:val="bullet"/>
      <w:lvlText w:val="o"/>
      <w:lvlJc w:val="left"/>
      <w:pPr>
        <w:ind w:left="3880" w:hanging="360"/>
      </w:pPr>
      <w:rPr>
        <w:rFonts w:ascii="Courier New" w:hAnsi="Courier New" w:cs="Courier New" w:hint="default"/>
      </w:rPr>
    </w:lvl>
    <w:lvl w:ilvl="2" w:tplc="04090005" w:tentative="1">
      <w:start w:val="1"/>
      <w:numFmt w:val="bullet"/>
      <w:lvlText w:val=""/>
      <w:lvlJc w:val="left"/>
      <w:pPr>
        <w:ind w:left="4600" w:hanging="360"/>
      </w:pPr>
      <w:rPr>
        <w:rFonts w:ascii="Wingdings" w:hAnsi="Wingdings" w:hint="default"/>
      </w:rPr>
    </w:lvl>
    <w:lvl w:ilvl="3" w:tplc="04090001" w:tentative="1">
      <w:start w:val="1"/>
      <w:numFmt w:val="bullet"/>
      <w:lvlText w:val=""/>
      <w:lvlJc w:val="left"/>
      <w:pPr>
        <w:ind w:left="5320" w:hanging="360"/>
      </w:pPr>
      <w:rPr>
        <w:rFonts w:ascii="Symbol" w:hAnsi="Symbol" w:hint="default"/>
      </w:rPr>
    </w:lvl>
    <w:lvl w:ilvl="4" w:tplc="04090003" w:tentative="1">
      <w:start w:val="1"/>
      <w:numFmt w:val="bullet"/>
      <w:lvlText w:val="o"/>
      <w:lvlJc w:val="left"/>
      <w:pPr>
        <w:ind w:left="6040" w:hanging="360"/>
      </w:pPr>
      <w:rPr>
        <w:rFonts w:ascii="Courier New" w:hAnsi="Courier New" w:cs="Courier New" w:hint="default"/>
      </w:rPr>
    </w:lvl>
    <w:lvl w:ilvl="5" w:tplc="04090005" w:tentative="1">
      <w:start w:val="1"/>
      <w:numFmt w:val="bullet"/>
      <w:lvlText w:val=""/>
      <w:lvlJc w:val="left"/>
      <w:pPr>
        <w:ind w:left="6760" w:hanging="360"/>
      </w:pPr>
      <w:rPr>
        <w:rFonts w:ascii="Wingdings" w:hAnsi="Wingdings" w:hint="default"/>
      </w:rPr>
    </w:lvl>
    <w:lvl w:ilvl="6" w:tplc="04090001" w:tentative="1">
      <w:start w:val="1"/>
      <w:numFmt w:val="bullet"/>
      <w:lvlText w:val=""/>
      <w:lvlJc w:val="left"/>
      <w:pPr>
        <w:ind w:left="7480" w:hanging="360"/>
      </w:pPr>
      <w:rPr>
        <w:rFonts w:ascii="Symbol" w:hAnsi="Symbol" w:hint="default"/>
      </w:rPr>
    </w:lvl>
    <w:lvl w:ilvl="7" w:tplc="04090003" w:tentative="1">
      <w:start w:val="1"/>
      <w:numFmt w:val="bullet"/>
      <w:lvlText w:val="o"/>
      <w:lvlJc w:val="left"/>
      <w:pPr>
        <w:ind w:left="8200" w:hanging="360"/>
      </w:pPr>
      <w:rPr>
        <w:rFonts w:ascii="Courier New" w:hAnsi="Courier New" w:cs="Courier New" w:hint="default"/>
      </w:rPr>
    </w:lvl>
    <w:lvl w:ilvl="8" w:tplc="04090005" w:tentative="1">
      <w:start w:val="1"/>
      <w:numFmt w:val="bullet"/>
      <w:lvlText w:val=""/>
      <w:lvlJc w:val="left"/>
      <w:pPr>
        <w:ind w:left="8920" w:hanging="360"/>
      </w:pPr>
      <w:rPr>
        <w:rFonts w:ascii="Wingdings" w:hAnsi="Wingdings" w:hint="default"/>
      </w:rPr>
    </w:lvl>
  </w:abstractNum>
  <w:abstractNum w:abstractNumId="5" w15:restartNumberingAfterBreak="0">
    <w:nsid w:val="736B2E76"/>
    <w:multiLevelType w:val="hybridMultilevel"/>
    <w:tmpl w:val="88466168"/>
    <w:lvl w:ilvl="0" w:tplc="91EEE2C0">
      <w:numFmt w:val="bullet"/>
      <w:lvlText w:val="-"/>
      <w:lvlJc w:val="left"/>
      <w:pPr>
        <w:ind w:left="4110" w:hanging="360"/>
      </w:pPr>
      <w:rPr>
        <w:rFonts w:ascii="Gotham Book" w:eastAsiaTheme="minorHAnsi" w:hAnsi="Gotham Book" w:cstheme="minorBidi" w:hint="default"/>
      </w:rPr>
    </w:lvl>
    <w:lvl w:ilvl="1" w:tplc="04090003" w:tentative="1">
      <w:start w:val="1"/>
      <w:numFmt w:val="bullet"/>
      <w:lvlText w:val="o"/>
      <w:lvlJc w:val="left"/>
      <w:pPr>
        <w:ind w:left="4830" w:hanging="360"/>
      </w:pPr>
      <w:rPr>
        <w:rFonts w:ascii="Courier New" w:hAnsi="Courier New" w:cs="Courier New" w:hint="default"/>
      </w:rPr>
    </w:lvl>
    <w:lvl w:ilvl="2" w:tplc="04090005" w:tentative="1">
      <w:start w:val="1"/>
      <w:numFmt w:val="bullet"/>
      <w:lvlText w:val=""/>
      <w:lvlJc w:val="left"/>
      <w:pPr>
        <w:ind w:left="5550" w:hanging="360"/>
      </w:pPr>
      <w:rPr>
        <w:rFonts w:ascii="Wingdings" w:hAnsi="Wingdings" w:hint="default"/>
      </w:rPr>
    </w:lvl>
    <w:lvl w:ilvl="3" w:tplc="04090001" w:tentative="1">
      <w:start w:val="1"/>
      <w:numFmt w:val="bullet"/>
      <w:lvlText w:val=""/>
      <w:lvlJc w:val="left"/>
      <w:pPr>
        <w:ind w:left="6270" w:hanging="360"/>
      </w:pPr>
      <w:rPr>
        <w:rFonts w:ascii="Symbol" w:hAnsi="Symbol" w:hint="default"/>
      </w:rPr>
    </w:lvl>
    <w:lvl w:ilvl="4" w:tplc="04090003" w:tentative="1">
      <w:start w:val="1"/>
      <w:numFmt w:val="bullet"/>
      <w:lvlText w:val="o"/>
      <w:lvlJc w:val="left"/>
      <w:pPr>
        <w:ind w:left="6990" w:hanging="360"/>
      </w:pPr>
      <w:rPr>
        <w:rFonts w:ascii="Courier New" w:hAnsi="Courier New" w:cs="Courier New" w:hint="default"/>
      </w:rPr>
    </w:lvl>
    <w:lvl w:ilvl="5" w:tplc="04090005" w:tentative="1">
      <w:start w:val="1"/>
      <w:numFmt w:val="bullet"/>
      <w:lvlText w:val=""/>
      <w:lvlJc w:val="left"/>
      <w:pPr>
        <w:ind w:left="7710" w:hanging="360"/>
      </w:pPr>
      <w:rPr>
        <w:rFonts w:ascii="Wingdings" w:hAnsi="Wingdings" w:hint="default"/>
      </w:rPr>
    </w:lvl>
    <w:lvl w:ilvl="6" w:tplc="04090001" w:tentative="1">
      <w:start w:val="1"/>
      <w:numFmt w:val="bullet"/>
      <w:lvlText w:val=""/>
      <w:lvlJc w:val="left"/>
      <w:pPr>
        <w:ind w:left="8430" w:hanging="360"/>
      </w:pPr>
      <w:rPr>
        <w:rFonts w:ascii="Symbol" w:hAnsi="Symbol" w:hint="default"/>
      </w:rPr>
    </w:lvl>
    <w:lvl w:ilvl="7" w:tplc="04090003" w:tentative="1">
      <w:start w:val="1"/>
      <w:numFmt w:val="bullet"/>
      <w:lvlText w:val="o"/>
      <w:lvlJc w:val="left"/>
      <w:pPr>
        <w:ind w:left="9150" w:hanging="360"/>
      </w:pPr>
      <w:rPr>
        <w:rFonts w:ascii="Courier New" w:hAnsi="Courier New" w:cs="Courier New" w:hint="default"/>
      </w:rPr>
    </w:lvl>
    <w:lvl w:ilvl="8" w:tplc="04090005" w:tentative="1">
      <w:start w:val="1"/>
      <w:numFmt w:val="bullet"/>
      <w:lvlText w:val=""/>
      <w:lvlJc w:val="left"/>
      <w:pPr>
        <w:ind w:left="9870" w:hanging="360"/>
      </w:pPr>
      <w:rPr>
        <w:rFonts w:ascii="Wingdings" w:hAnsi="Wingdings" w:hint="default"/>
      </w:rPr>
    </w:lvl>
  </w:abstractNum>
  <w:abstractNum w:abstractNumId="6" w15:restartNumberingAfterBreak="0">
    <w:nsid w:val="786B6044"/>
    <w:multiLevelType w:val="hybridMultilevel"/>
    <w:tmpl w:val="75E8D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210868">
    <w:abstractNumId w:val="5"/>
  </w:num>
  <w:num w:numId="2" w16cid:durableId="521017116">
    <w:abstractNumId w:val="4"/>
  </w:num>
  <w:num w:numId="3" w16cid:durableId="1332172182">
    <w:abstractNumId w:val="1"/>
  </w:num>
  <w:num w:numId="4" w16cid:durableId="1182163578">
    <w:abstractNumId w:val="6"/>
  </w:num>
  <w:num w:numId="5" w16cid:durableId="584386702">
    <w:abstractNumId w:val="0"/>
  </w:num>
  <w:num w:numId="6" w16cid:durableId="1001814177">
    <w:abstractNumId w:val="2"/>
  </w:num>
  <w:num w:numId="7" w16cid:durableId="312485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78"/>
    <w:rsid w:val="00177578"/>
    <w:rsid w:val="001B4B2F"/>
    <w:rsid w:val="0023498A"/>
    <w:rsid w:val="00351114"/>
    <w:rsid w:val="004C3E12"/>
    <w:rsid w:val="00516313"/>
    <w:rsid w:val="00603D4E"/>
    <w:rsid w:val="0065438C"/>
    <w:rsid w:val="007A01DE"/>
    <w:rsid w:val="00963012"/>
    <w:rsid w:val="009B7378"/>
    <w:rsid w:val="009D0801"/>
    <w:rsid w:val="009F7AC1"/>
    <w:rsid w:val="00BD507D"/>
    <w:rsid w:val="00BD548F"/>
    <w:rsid w:val="00C56B0E"/>
    <w:rsid w:val="00DF55F4"/>
    <w:rsid w:val="00E05B32"/>
    <w:rsid w:val="00E349AE"/>
    <w:rsid w:val="00F0566A"/>
    <w:rsid w:val="00F24605"/>
    <w:rsid w:val="00FA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F9DA"/>
  <w15:chartTrackingRefBased/>
  <w15:docId w15:val="{A152D6F9-840C-4410-B39A-400A5865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5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5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75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75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75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75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75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5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5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75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75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75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75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75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5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5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7578"/>
    <w:pPr>
      <w:spacing w:before="160"/>
      <w:jc w:val="center"/>
    </w:pPr>
    <w:rPr>
      <w:i/>
      <w:iCs/>
      <w:color w:val="404040" w:themeColor="text1" w:themeTint="BF"/>
    </w:rPr>
  </w:style>
  <w:style w:type="character" w:customStyle="1" w:styleId="QuoteChar">
    <w:name w:val="Quote Char"/>
    <w:basedOn w:val="DefaultParagraphFont"/>
    <w:link w:val="Quote"/>
    <w:uiPriority w:val="29"/>
    <w:rsid w:val="00177578"/>
    <w:rPr>
      <w:i/>
      <w:iCs/>
      <w:color w:val="404040" w:themeColor="text1" w:themeTint="BF"/>
    </w:rPr>
  </w:style>
  <w:style w:type="paragraph" w:styleId="ListParagraph">
    <w:name w:val="List Paragraph"/>
    <w:basedOn w:val="Normal"/>
    <w:uiPriority w:val="34"/>
    <w:qFormat/>
    <w:rsid w:val="00177578"/>
    <w:pPr>
      <w:ind w:left="720"/>
      <w:contextualSpacing/>
    </w:pPr>
  </w:style>
  <w:style w:type="character" w:styleId="IntenseEmphasis">
    <w:name w:val="Intense Emphasis"/>
    <w:basedOn w:val="DefaultParagraphFont"/>
    <w:uiPriority w:val="21"/>
    <w:qFormat/>
    <w:rsid w:val="00177578"/>
    <w:rPr>
      <w:i/>
      <w:iCs/>
      <w:color w:val="0F4761" w:themeColor="accent1" w:themeShade="BF"/>
    </w:rPr>
  </w:style>
  <w:style w:type="paragraph" w:styleId="IntenseQuote">
    <w:name w:val="Intense Quote"/>
    <w:basedOn w:val="Normal"/>
    <w:next w:val="Normal"/>
    <w:link w:val="IntenseQuoteChar"/>
    <w:uiPriority w:val="30"/>
    <w:qFormat/>
    <w:rsid w:val="0017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578"/>
    <w:rPr>
      <w:i/>
      <w:iCs/>
      <w:color w:val="0F4761" w:themeColor="accent1" w:themeShade="BF"/>
    </w:rPr>
  </w:style>
  <w:style w:type="character" w:styleId="IntenseReference">
    <w:name w:val="Intense Reference"/>
    <w:basedOn w:val="DefaultParagraphFont"/>
    <w:uiPriority w:val="32"/>
    <w:qFormat/>
    <w:rsid w:val="00177578"/>
    <w:rPr>
      <w:b/>
      <w:bCs/>
      <w:smallCaps/>
      <w:color w:val="0F4761" w:themeColor="accent1" w:themeShade="BF"/>
      <w:spacing w:val="5"/>
    </w:rPr>
  </w:style>
  <w:style w:type="table" w:styleId="TableGrid">
    <w:name w:val="Table Grid"/>
    <w:basedOn w:val="TableNormal"/>
    <w:uiPriority w:val="39"/>
    <w:rsid w:val="00BD5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2</Pages>
  <Words>477</Words>
  <Characters>2322</Characters>
  <Application>Microsoft Office Word</Application>
  <DocSecurity>0</DocSecurity>
  <Lines>74</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dcterms:created xsi:type="dcterms:W3CDTF">2025-06-04T22:12:00Z</dcterms:created>
  <dcterms:modified xsi:type="dcterms:W3CDTF">2026-01-14T18:01:00Z</dcterms:modified>
</cp:coreProperties>
</file>