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E2BB" w14:textId="55D8C7CA" w:rsidR="00B91D20" w:rsidRDefault="00B91D20" w:rsidP="00D947B3">
      <w:pPr>
        <w:pStyle w:val="NoSpacing"/>
        <w:jc w:val="center"/>
        <w:rPr>
          <w:rFonts w:ascii="Gotham Book" w:eastAsiaTheme="majorEastAsia" w:hAnsi="Gotham Book" w:cstheme="majorBidi"/>
          <w:sz w:val="32"/>
          <w:szCs w:val="32"/>
          <w:lang w:eastAsia="en-US"/>
        </w:rPr>
      </w:pPr>
      <w:bookmarkStart w:id="0" w:name="_Hlk78964844"/>
      <w:r w:rsidRPr="00B91D20">
        <w:rPr>
          <w:rFonts w:ascii="Gotham Book" w:eastAsiaTheme="majorEastAsia" w:hAnsi="Gotham Book" w:cstheme="majorBidi"/>
          <w:sz w:val="32"/>
          <w:szCs w:val="32"/>
          <w:lang w:eastAsia="en-US"/>
        </w:rPr>
        <w:t xml:space="preserve">The Texas Revolution: Connections to the Republic of Texas </w:t>
      </w:r>
    </w:p>
    <w:p w14:paraId="4B545A11" w14:textId="7182E5AF" w:rsidR="00D947B3" w:rsidRPr="00BE1A72" w:rsidRDefault="001E7713" w:rsidP="00D947B3">
      <w:pPr>
        <w:pStyle w:val="NoSpacing"/>
        <w:jc w:val="center"/>
        <w:rPr>
          <w:rFonts w:ascii="Gotham Book" w:hAnsi="Gotham Book"/>
          <w:color w:val="322E50"/>
          <w:sz w:val="24"/>
          <w:szCs w:val="24"/>
        </w:rPr>
      </w:pPr>
      <w:r>
        <w:rPr>
          <w:rFonts w:ascii="Gotham Book" w:hAnsi="Gotham Book"/>
          <w:color w:val="322E50"/>
          <w:sz w:val="24"/>
          <w:szCs w:val="24"/>
        </w:rPr>
        <w:t xml:space="preserve">Accommodated </w:t>
      </w:r>
      <w:r w:rsidR="00351138" w:rsidRPr="00BE1A72">
        <w:rPr>
          <w:rFonts w:ascii="Gotham Book" w:hAnsi="Gotham Book"/>
          <w:color w:val="322E50"/>
          <w:sz w:val="24"/>
          <w:szCs w:val="24"/>
        </w:rPr>
        <w:t>Lesson Plan for 7</w:t>
      </w:r>
      <w:r w:rsidR="00351138" w:rsidRPr="00BE1A72">
        <w:rPr>
          <w:rFonts w:ascii="Gotham Book" w:hAnsi="Gotham Book"/>
          <w:color w:val="322E50"/>
          <w:sz w:val="24"/>
          <w:szCs w:val="24"/>
          <w:vertAlign w:val="superscript"/>
        </w:rPr>
        <w:t>th</w:t>
      </w:r>
      <w:r w:rsidR="00351138"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B91D20">
        <w:rPr>
          <w:rFonts w:ascii="Gotham Book" w:hAnsi="Gotham Book"/>
          <w:color w:val="322E50"/>
          <w:sz w:val="24"/>
          <w:szCs w:val="24"/>
        </w:rPr>
        <w:t>90</w:t>
      </w:r>
      <w:r w:rsidR="00105BD6" w:rsidRPr="00BE1A72">
        <w:rPr>
          <w:rFonts w:ascii="Gotham Book" w:hAnsi="Gotham Book"/>
          <w:color w:val="322E50"/>
          <w:sz w:val="24"/>
          <w:szCs w:val="24"/>
        </w:rPr>
        <w:t xml:space="preserve">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003DBB46" w14:textId="656F8B26" w:rsidR="001E7713" w:rsidRDefault="00B91D20" w:rsidP="001E7713">
      <w:pPr>
        <w:rPr>
          <w:rFonts w:ascii="Gotham Book" w:hAnsi="Gotham Book"/>
        </w:rPr>
      </w:pPr>
      <w:r w:rsidRPr="00B91D20">
        <w:rPr>
          <w:rFonts w:ascii="Gotham Book" w:hAnsi="Gotham Book"/>
        </w:rPr>
        <w:t>Students will create connections to the Republic era by evaluating the social, economic, and political impacts of independence.</w:t>
      </w:r>
      <w:r w:rsidR="001E7713">
        <w:rPr>
          <w:rFonts w:ascii="Gotham Book" w:hAnsi="Gotham Book"/>
        </w:rPr>
        <w:t xml:space="preserve"> </w:t>
      </w:r>
      <w:r w:rsidR="001E7713" w:rsidRPr="006329A3">
        <w:rPr>
          <w:rFonts w:ascii="Gotham Book" w:hAnsi="Gotham Book"/>
        </w:rPr>
        <w:t xml:space="preserve">This is the accommodated version of </w:t>
      </w:r>
      <w:r w:rsidR="001E7713">
        <w:rPr>
          <w:rFonts w:ascii="Gotham Book" w:hAnsi="Gotham Book"/>
        </w:rPr>
        <w:t>Connections to the Republic of Texas</w:t>
      </w:r>
      <w:r w:rsidR="001E7713" w:rsidRPr="006329A3">
        <w:rPr>
          <w:rFonts w:ascii="Gotham Book" w:hAnsi="Gotham Book"/>
        </w:rPr>
        <w:t xml:space="preserve">. </w:t>
      </w:r>
      <w:r w:rsidR="001E7713">
        <w:rPr>
          <w:rFonts w:ascii="Gotham Book" w:hAnsi="Gotham Book"/>
        </w:rPr>
        <w:t>Change</w:t>
      </w:r>
      <w:r w:rsidR="001E7713" w:rsidRPr="006329A3">
        <w:rPr>
          <w:rFonts w:ascii="Gotham Book" w:hAnsi="Gotham Book"/>
        </w:rPr>
        <w:t>s include modified student documents and activities.  Modifications include sentence stems and summaries of primary source documents. Sentence stems direct students in the right direction and scaffold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completely separate.</w:t>
      </w:r>
    </w:p>
    <w:p w14:paraId="68AD0BE1" w14:textId="4C5E3883" w:rsidR="00D947B3" w:rsidRPr="00BE1A72" w:rsidRDefault="00B138DC" w:rsidP="00D947B3">
      <w:pPr>
        <w:rPr>
          <w:rFonts w:ascii="Gotham Book" w:hAnsi="Gotham Book"/>
        </w:rPr>
      </w:pPr>
      <w:r w:rsidRPr="00BE1A72">
        <w:rPr>
          <w:rFonts w:ascii="Gotham Book" w:hAnsi="Gotham Book"/>
        </w:rPr>
        <w:t xml:space="preserve"> </w:t>
      </w: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241FC883" w14:textId="3D60B1F5" w:rsidR="00B91D20" w:rsidRPr="00D264B7" w:rsidRDefault="00B91D20" w:rsidP="00D264B7">
      <w:pPr>
        <w:pStyle w:val="ListParagraph"/>
        <w:widowControl w:val="0"/>
        <w:numPr>
          <w:ilvl w:val="0"/>
          <w:numId w:val="11"/>
        </w:numPr>
        <w:spacing w:before="200"/>
        <w:rPr>
          <w:rFonts w:ascii="Gotham Book" w:hAnsi="Gotham Book"/>
        </w:rPr>
      </w:pPr>
      <w:r w:rsidRPr="00B91D20">
        <w:rPr>
          <w:rFonts w:ascii="Gotham Book" w:hAnsi="Gotham Book"/>
        </w:rPr>
        <w:t>How did the aftermath of the Revolution cause instability for the Republic of Texas?</w:t>
      </w:r>
    </w:p>
    <w:p w14:paraId="725C1065" w14:textId="77777777" w:rsidR="00B91D20" w:rsidRPr="00B91D20" w:rsidRDefault="00B91D20" w:rsidP="00B91D20">
      <w:pPr>
        <w:pStyle w:val="NoSpacing"/>
        <w:rPr>
          <w:rFonts w:ascii="Gotham Book" w:hAnsi="Gotham Book"/>
          <w:sz w:val="24"/>
          <w:szCs w:val="24"/>
        </w:rPr>
      </w:pPr>
    </w:p>
    <w:p w14:paraId="44055288" w14:textId="77777777" w:rsidR="00D264B7" w:rsidRDefault="00D264B7" w:rsidP="00B91D20">
      <w:pPr>
        <w:pStyle w:val="NoSpacing"/>
        <w:rPr>
          <w:rFonts w:ascii="Gotham Book" w:hAnsi="Gotham Book"/>
          <w:sz w:val="24"/>
          <w:szCs w:val="24"/>
        </w:rPr>
      </w:pPr>
      <w:r w:rsidRPr="00B91D20">
        <w:rPr>
          <w:rFonts w:ascii="Gotham Book" w:hAnsi="Gotham Book"/>
          <w:b/>
          <w:sz w:val="24"/>
          <w:szCs w:val="24"/>
        </w:rPr>
        <w:t>Students will know the following information based on previous TEKS standards</w:t>
      </w:r>
      <w:r w:rsidRPr="00B91D20">
        <w:rPr>
          <w:rFonts w:ascii="Gotham Book" w:hAnsi="Gotham Book"/>
          <w:sz w:val="24"/>
          <w:szCs w:val="24"/>
        </w:rPr>
        <w:t>:</w:t>
      </w:r>
    </w:p>
    <w:p w14:paraId="67436356" w14:textId="77777777" w:rsidR="00D264B7" w:rsidRDefault="00D264B7" w:rsidP="00B91D20">
      <w:pPr>
        <w:pStyle w:val="NoSpacing"/>
        <w:rPr>
          <w:rFonts w:ascii="Gotham Book" w:hAnsi="Gotham Book"/>
          <w:sz w:val="24"/>
          <w:szCs w:val="24"/>
        </w:rPr>
      </w:pPr>
    </w:p>
    <w:p w14:paraId="50EDE57B" w14:textId="1B3BFC1B" w:rsidR="00B91D20" w:rsidRPr="00B91D20" w:rsidRDefault="00B91D20" w:rsidP="00B91D20">
      <w:pPr>
        <w:pStyle w:val="NoSpacing"/>
        <w:rPr>
          <w:rFonts w:ascii="Gotham Book" w:hAnsi="Gotham Book"/>
          <w:sz w:val="24"/>
          <w:szCs w:val="24"/>
        </w:rPr>
      </w:pPr>
      <w:r w:rsidRPr="00B91D20">
        <w:rPr>
          <w:rFonts w:ascii="Gotham Book" w:hAnsi="Gotham Book"/>
          <w:sz w:val="24"/>
          <w:szCs w:val="24"/>
        </w:rPr>
        <w:t>Explain how individuals, events, and issues related to the Texas Revolution shaped the history of Texas.</w:t>
      </w:r>
    </w:p>
    <w:p w14:paraId="51898403" w14:textId="77777777" w:rsidR="00B91D20" w:rsidRPr="00B91D20" w:rsidRDefault="00B91D20" w:rsidP="00B91D20">
      <w:pPr>
        <w:pStyle w:val="NoSpacing"/>
        <w:rPr>
          <w:rFonts w:ascii="Gotham Book" w:hAnsi="Gotham Book"/>
          <w:sz w:val="24"/>
          <w:szCs w:val="24"/>
        </w:rPr>
      </w:pPr>
    </w:p>
    <w:p w14:paraId="239A493F" w14:textId="77777777" w:rsidR="00B91D20" w:rsidRPr="00B91D20" w:rsidRDefault="00B91D20" w:rsidP="00B91D20">
      <w:pPr>
        <w:pStyle w:val="NoSpacing"/>
        <w:rPr>
          <w:rFonts w:ascii="Gotham Book" w:hAnsi="Gotham Book"/>
          <w:sz w:val="24"/>
          <w:szCs w:val="24"/>
        </w:rPr>
      </w:pPr>
      <w:r w:rsidRPr="00B91D20">
        <w:rPr>
          <w:rFonts w:ascii="Gotham Book" w:hAnsi="Gotham Book"/>
          <w:b/>
          <w:sz w:val="24"/>
          <w:szCs w:val="24"/>
        </w:rPr>
        <w:t>Students will develop the following skills during this unit based on the TEKS standards</w:t>
      </w:r>
      <w:r w:rsidRPr="00B91D20">
        <w:rPr>
          <w:rFonts w:ascii="Gotham Book" w:hAnsi="Gotham Book"/>
          <w:sz w:val="24"/>
          <w:szCs w:val="24"/>
        </w:rPr>
        <w:t>:</w:t>
      </w:r>
    </w:p>
    <w:p w14:paraId="70F8CDC6" w14:textId="77777777" w:rsidR="00B91D20" w:rsidRPr="00B91D20" w:rsidRDefault="00B91D20" w:rsidP="00B91D20">
      <w:pPr>
        <w:pStyle w:val="NoSpacing"/>
        <w:rPr>
          <w:rFonts w:ascii="Gotham Book" w:hAnsi="Gotham Book"/>
          <w:sz w:val="24"/>
          <w:szCs w:val="24"/>
        </w:rPr>
      </w:pPr>
    </w:p>
    <w:p w14:paraId="32D48DEC" w14:textId="77777777" w:rsidR="00B91D20" w:rsidRDefault="00B91D20" w:rsidP="00B91D20">
      <w:pPr>
        <w:pStyle w:val="NoSpacing"/>
        <w:rPr>
          <w:rFonts w:ascii="Gotham Book" w:hAnsi="Gotham Book"/>
          <w:sz w:val="24"/>
          <w:szCs w:val="24"/>
        </w:rPr>
      </w:pPr>
      <w:r w:rsidRPr="00B91D20">
        <w:rPr>
          <w:rFonts w:ascii="Gotham Book" w:hAnsi="Gotham Book"/>
          <w:sz w:val="24"/>
          <w:szCs w:val="24"/>
        </w:rPr>
        <w:t>Analyzing and interpreting primary source documents related to the Texas Revolution, including letters, journals, and personal accounts from the Alamo.</w:t>
      </w:r>
    </w:p>
    <w:p w14:paraId="299EE22A" w14:textId="77777777" w:rsidR="00B91D20" w:rsidRDefault="00B91D20" w:rsidP="00B91D20">
      <w:pPr>
        <w:pStyle w:val="NoSpacing"/>
        <w:rPr>
          <w:rFonts w:ascii="Gotham Book" w:hAnsi="Gotham Book"/>
          <w:sz w:val="24"/>
          <w:szCs w:val="24"/>
        </w:rPr>
      </w:pPr>
    </w:p>
    <w:p w14:paraId="160854EF" w14:textId="1F55620A" w:rsidR="00D947B3" w:rsidRPr="00B91D20" w:rsidRDefault="00D947B3" w:rsidP="00B91D20">
      <w:pPr>
        <w:pStyle w:val="NoSpacing"/>
        <w:rPr>
          <w:rFonts w:ascii="Gotham Book" w:hAnsi="Gotham Book"/>
          <w:i/>
          <w:sz w:val="24"/>
          <w:szCs w:val="24"/>
        </w:rPr>
      </w:pPr>
      <w:r w:rsidRPr="00B91D20">
        <w:rPr>
          <w:rFonts w:ascii="Gotham Book" w:hAnsi="Gotham Book"/>
          <w:i/>
          <w:sz w:val="24"/>
          <w:szCs w:val="24"/>
        </w:rPr>
        <w:t xml:space="preserve">Table </w:t>
      </w:r>
      <w:r w:rsidRPr="00B91D20">
        <w:rPr>
          <w:rFonts w:ascii="Gotham Book" w:hAnsi="Gotham Book"/>
          <w:i/>
          <w:sz w:val="24"/>
          <w:szCs w:val="24"/>
        </w:rPr>
        <w:fldChar w:fldCharType="begin"/>
      </w:r>
      <w:r w:rsidRPr="00B91D20">
        <w:rPr>
          <w:rFonts w:ascii="Gotham Book" w:hAnsi="Gotham Book"/>
          <w:i/>
          <w:sz w:val="24"/>
          <w:szCs w:val="24"/>
        </w:rPr>
        <w:instrText xml:space="preserve"> SEQ Table \* ARABIC </w:instrText>
      </w:r>
      <w:r w:rsidRPr="00B91D20">
        <w:rPr>
          <w:rFonts w:ascii="Gotham Book" w:hAnsi="Gotham Book"/>
          <w:i/>
          <w:sz w:val="24"/>
          <w:szCs w:val="24"/>
        </w:rPr>
        <w:fldChar w:fldCharType="separate"/>
      </w:r>
      <w:r w:rsidR="003A6B0A" w:rsidRPr="00B91D20">
        <w:rPr>
          <w:rFonts w:ascii="Gotham Book" w:hAnsi="Gotham Book"/>
          <w:i/>
          <w:noProof/>
          <w:sz w:val="24"/>
          <w:szCs w:val="24"/>
        </w:rPr>
        <w:t>1</w:t>
      </w:r>
      <w:r w:rsidRPr="00B91D20">
        <w:rPr>
          <w:rFonts w:ascii="Gotham Book" w:hAnsi="Gotham Book"/>
          <w:i/>
          <w:noProof/>
          <w:sz w:val="24"/>
          <w:szCs w:val="24"/>
        </w:rPr>
        <w:fldChar w:fldCharType="end"/>
      </w:r>
      <w:r w:rsidRPr="00B91D20">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BE1A72" w14:paraId="4C79D47A" w14:textId="77777777" w:rsidTr="00D45EE9">
        <w:trPr>
          <w:cantSplit/>
          <w:trHeight w:val="630"/>
          <w:tblHeader/>
        </w:trPr>
        <w:tc>
          <w:tcPr>
            <w:tcW w:w="1166"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D45EE9">
        <w:trPr>
          <w:trHeight w:val="440"/>
        </w:trPr>
        <w:tc>
          <w:tcPr>
            <w:tcW w:w="1166" w:type="pct"/>
          </w:tcPr>
          <w:p w14:paraId="78D93272" w14:textId="517C4B65" w:rsidR="00D947B3" w:rsidRPr="000527EB" w:rsidRDefault="00D947B3" w:rsidP="007403F0">
            <w:pPr>
              <w:rPr>
                <w:rFonts w:ascii="Gotham Book" w:hAnsi="Gotham Book"/>
                <w:b/>
                <w:color w:val="auto"/>
                <w:sz w:val="24"/>
                <w:szCs w:val="24"/>
              </w:rPr>
            </w:pPr>
            <w:r w:rsidRPr="000527EB">
              <w:rPr>
                <w:rFonts w:ascii="Gotham Book" w:hAnsi="Gotham Book"/>
                <w:b/>
                <w:color w:val="auto"/>
                <w:sz w:val="24"/>
                <w:szCs w:val="24"/>
              </w:rPr>
              <w:t xml:space="preserve">Hook Exercise </w:t>
            </w:r>
          </w:p>
        </w:tc>
        <w:tc>
          <w:tcPr>
            <w:tcW w:w="2345" w:type="pct"/>
          </w:tcPr>
          <w:p w14:paraId="31A0F716" w14:textId="4F0B3C29" w:rsidR="00B91D20" w:rsidRPr="00B91D20" w:rsidRDefault="00B91D20" w:rsidP="00B91D20">
            <w:pPr>
              <w:rPr>
                <w:rFonts w:ascii="Gotham Book" w:hAnsi="Gotham Book"/>
                <w:color w:val="auto"/>
                <w:sz w:val="24"/>
                <w:szCs w:val="24"/>
              </w:rPr>
            </w:pPr>
            <w:r w:rsidRPr="00B91D20">
              <w:rPr>
                <w:rFonts w:ascii="Gotham Book" w:hAnsi="Gotham Book"/>
                <w:color w:val="auto"/>
                <w:sz w:val="24"/>
                <w:szCs w:val="24"/>
              </w:rPr>
              <w:t xml:space="preserve">Students will analyze the outcome of two documents written to different audiences by participating in a fun and relevant hook exercise. The scenario sets the scene for the “big” event of the year, the school dance. Students are instructed to write two quick notes, one to their parents and one to their friend, to inform them about the dance. They are given the same writing prompt for both audiences. This hook exercise is designed to be used with </w:t>
            </w:r>
            <w:r w:rsidRPr="00B91D20">
              <w:rPr>
                <w:rFonts w:ascii="Gotham Book" w:hAnsi="Gotham Book"/>
                <w:color w:val="auto"/>
                <w:sz w:val="24"/>
                <w:szCs w:val="24"/>
              </w:rPr>
              <w:lastRenderedPageBreak/>
              <w:t xml:space="preserve">the </w:t>
            </w:r>
            <w:r>
              <w:rPr>
                <w:rFonts w:ascii="Gotham Book" w:hAnsi="Gotham Book"/>
                <w:color w:val="auto"/>
                <w:sz w:val="24"/>
                <w:szCs w:val="24"/>
              </w:rPr>
              <w:t>slideshow</w:t>
            </w:r>
            <w:r w:rsidRPr="00B91D20">
              <w:rPr>
                <w:rFonts w:ascii="Gotham Book" w:hAnsi="Gotham Book"/>
                <w:color w:val="auto"/>
                <w:sz w:val="24"/>
                <w:szCs w:val="24"/>
              </w:rPr>
              <w:t xml:space="preserve"> presentation.</w:t>
            </w:r>
          </w:p>
          <w:p w14:paraId="0733E75B" w14:textId="77777777" w:rsidR="00B91D20" w:rsidRPr="00B91D20" w:rsidRDefault="00B91D20" w:rsidP="00B91D20">
            <w:pPr>
              <w:rPr>
                <w:rFonts w:ascii="Gotham Book" w:hAnsi="Gotham Book"/>
                <w:color w:val="auto"/>
                <w:sz w:val="24"/>
                <w:szCs w:val="24"/>
              </w:rPr>
            </w:pPr>
          </w:p>
          <w:p w14:paraId="7C92ED26" w14:textId="77777777" w:rsidR="00D264B7" w:rsidRDefault="00B91D20" w:rsidP="00D264B7">
            <w:pPr>
              <w:rPr>
                <w:rFonts w:ascii="Gotham Book" w:hAnsi="Gotham Book"/>
                <w:i/>
                <w:color w:val="auto"/>
                <w:sz w:val="20"/>
                <w:szCs w:val="20"/>
              </w:rPr>
            </w:pPr>
            <w:r w:rsidRPr="00B91D20">
              <w:rPr>
                <w:rFonts w:ascii="Gotham Book" w:hAnsi="Gotham Book"/>
                <w:b/>
                <w:color w:val="auto"/>
                <w:sz w:val="24"/>
                <w:szCs w:val="24"/>
              </w:rPr>
              <w:t>Reflect</w:t>
            </w:r>
            <w:r w:rsidRPr="00B91D20">
              <w:rPr>
                <w:rFonts w:ascii="Gotham Book" w:hAnsi="Gotham Book"/>
                <w:color w:val="auto"/>
                <w:sz w:val="24"/>
                <w:szCs w:val="24"/>
              </w:rPr>
              <w:t xml:space="preserve">: The </w:t>
            </w:r>
            <w:r>
              <w:rPr>
                <w:rFonts w:ascii="Gotham Book" w:hAnsi="Gotham Book"/>
                <w:color w:val="auto"/>
                <w:sz w:val="24"/>
                <w:szCs w:val="24"/>
              </w:rPr>
              <w:t>slideshow</w:t>
            </w:r>
            <w:r w:rsidRPr="00B91D20">
              <w:rPr>
                <w:rFonts w:ascii="Gotham Book" w:hAnsi="Gotham Book"/>
                <w:color w:val="auto"/>
                <w:sz w:val="24"/>
                <w:szCs w:val="24"/>
              </w:rPr>
              <w:t xml:space="preserve"> presentation contains the reflection guide. Students will reflect on the two notes written and analyze them using the following questions: How are the two notes different? Why are they different? </w:t>
            </w:r>
            <w:r w:rsidRPr="00B91D20">
              <w:rPr>
                <w:rFonts w:ascii="Gotham Book" w:hAnsi="Gotham Book"/>
                <w:i/>
                <w:color w:val="auto"/>
                <w:sz w:val="24"/>
                <w:szCs w:val="24"/>
              </w:rPr>
              <w:t>Guide the students to understand that the treaties were written for different audiences, therefore they contain different information.</w:t>
            </w:r>
            <w:r w:rsidR="00D264B7" w:rsidRPr="00B91D20">
              <w:rPr>
                <w:rFonts w:ascii="Gotham Book" w:hAnsi="Gotham Book"/>
                <w:i/>
                <w:color w:val="auto"/>
                <w:sz w:val="20"/>
                <w:szCs w:val="20"/>
              </w:rPr>
              <w:t xml:space="preserve"> </w:t>
            </w:r>
          </w:p>
          <w:p w14:paraId="4FEF9C33" w14:textId="77777777" w:rsidR="00D264B7" w:rsidRDefault="00D264B7" w:rsidP="00D264B7">
            <w:pPr>
              <w:rPr>
                <w:rFonts w:ascii="Gotham Book" w:hAnsi="Gotham Book"/>
                <w:i/>
                <w:color w:val="auto"/>
                <w:sz w:val="20"/>
                <w:szCs w:val="20"/>
              </w:rPr>
            </w:pPr>
          </w:p>
          <w:p w14:paraId="54EF2365" w14:textId="2BA0B940" w:rsidR="00D947B3" w:rsidRPr="00B91D20" w:rsidRDefault="00D947B3" w:rsidP="00D264B7">
            <w:pPr>
              <w:rPr>
                <w:rFonts w:ascii="Gotham Book" w:hAnsi="Gotham Book"/>
                <w:i/>
                <w:color w:val="auto"/>
                <w:sz w:val="20"/>
                <w:szCs w:val="20"/>
              </w:rPr>
            </w:pPr>
            <w:r w:rsidRPr="00B91D20">
              <w:rPr>
                <w:rFonts w:ascii="Gotham Book" w:hAnsi="Gotham Book"/>
                <w:i/>
                <w:color w:val="auto"/>
                <w:sz w:val="20"/>
                <w:szCs w:val="20"/>
              </w:rPr>
              <w:t>Suggested printing: 1 per student</w:t>
            </w:r>
          </w:p>
        </w:tc>
        <w:tc>
          <w:tcPr>
            <w:tcW w:w="1489" w:type="pct"/>
          </w:tcPr>
          <w:p w14:paraId="197CA332" w14:textId="3C4EBB62"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lastRenderedPageBreak/>
              <w:t>7.</w:t>
            </w:r>
            <w:r w:rsidR="00D84EE7" w:rsidRPr="00BE1A72">
              <w:rPr>
                <w:rFonts w:ascii="Gotham Book" w:hAnsi="Gotham Book"/>
                <w:color w:val="auto"/>
                <w:sz w:val="24"/>
                <w:szCs w:val="24"/>
              </w:rPr>
              <w:t>6</w:t>
            </w:r>
            <w:r w:rsidR="00B91D20">
              <w:rPr>
                <w:rFonts w:ascii="Gotham Book" w:hAnsi="Gotham Book"/>
                <w:color w:val="auto"/>
                <w:sz w:val="24"/>
                <w:szCs w:val="24"/>
              </w:rPr>
              <w:t>(A)(C)</w:t>
            </w:r>
            <w:r w:rsidRPr="00BE1A72">
              <w:rPr>
                <w:rFonts w:ascii="Gotham Book" w:hAnsi="Gotham Book"/>
                <w:color w:val="auto"/>
                <w:sz w:val="24"/>
                <w:szCs w:val="24"/>
              </w:rPr>
              <w:t xml:space="preserve"> ELA</w:t>
            </w:r>
          </w:p>
        </w:tc>
      </w:tr>
      <w:tr w:rsidR="00D947B3" w:rsidRPr="00BE1A72" w14:paraId="539893F3" w14:textId="77777777" w:rsidTr="00D45EE9">
        <w:trPr>
          <w:cantSplit/>
          <w:trHeight w:val="440"/>
        </w:trPr>
        <w:tc>
          <w:tcPr>
            <w:tcW w:w="1166" w:type="pct"/>
          </w:tcPr>
          <w:p w14:paraId="16EB369F" w14:textId="59F3B4DE" w:rsidR="00D947B3" w:rsidRPr="000527EB" w:rsidRDefault="001E7713" w:rsidP="007403F0">
            <w:pPr>
              <w:rPr>
                <w:rFonts w:ascii="Gotham Book" w:hAnsi="Gotham Book"/>
                <w:b/>
                <w:color w:val="auto"/>
                <w:sz w:val="24"/>
                <w:szCs w:val="24"/>
              </w:rPr>
            </w:pPr>
            <w:hyperlink r:id="rId10">
              <w:r w:rsidR="00A44C73" w:rsidRPr="000527EB">
                <w:rPr>
                  <w:rFonts w:ascii="Gotham Book" w:hAnsi="Gotham Book"/>
                  <w:b/>
                  <w:color w:val="auto"/>
                  <w:sz w:val="24"/>
                  <w:szCs w:val="24"/>
                </w:rPr>
                <w:t>Slideshow</w:t>
              </w:r>
            </w:hyperlink>
          </w:p>
          <w:p w14:paraId="589B2C81" w14:textId="4F0B5DAE" w:rsidR="00D947B3" w:rsidRPr="000527EB" w:rsidRDefault="00D947B3" w:rsidP="007403F0">
            <w:pPr>
              <w:rPr>
                <w:rFonts w:ascii="Gotham Book" w:hAnsi="Gotham Book"/>
                <w:b/>
                <w:color w:val="auto"/>
                <w:sz w:val="24"/>
                <w:szCs w:val="24"/>
                <w:u w:val="single"/>
              </w:rPr>
            </w:pPr>
            <w:r w:rsidRPr="000527EB">
              <w:rPr>
                <w:rFonts w:ascii="Gotham Book" w:hAnsi="Gotham Book"/>
                <w:b/>
                <w:color w:val="auto"/>
                <w:sz w:val="24"/>
                <w:szCs w:val="24"/>
              </w:rPr>
              <w:t>presentation</w:t>
            </w:r>
            <w:r w:rsidRPr="000527EB">
              <w:rPr>
                <w:rFonts w:ascii="Gotham Book" w:hAnsi="Gotham Book"/>
                <w:b/>
                <w:color w:val="auto"/>
                <w:sz w:val="24"/>
                <w:szCs w:val="24"/>
                <w:u w:val="single"/>
              </w:rPr>
              <w:t xml:space="preserve"> </w:t>
            </w:r>
          </w:p>
        </w:tc>
        <w:tc>
          <w:tcPr>
            <w:tcW w:w="2345" w:type="pct"/>
          </w:tcPr>
          <w:p w14:paraId="5A3F1BC4" w14:textId="24E2477A" w:rsidR="00D264B7" w:rsidRDefault="00D45EE9" w:rsidP="00D264B7">
            <w:pPr>
              <w:rPr>
                <w:rFonts w:ascii="Gotham Book" w:hAnsi="Gotham Book"/>
                <w:i/>
                <w:color w:val="auto"/>
                <w:sz w:val="20"/>
                <w:szCs w:val="20"/>
              </w:rPr>
            </w:pPr>
            <w:r w:rsidRPr="00D45EE9">
              <w:rPr>
                <w:rFonts w:ascii="Gotham Book" w:hAnsi="Gotham Book"/>
                <w:color w:val="auto"/>
                <w:sz w:val="24"/>
                <w:szCs w:val="24"/>
              </w:rPr>
              <w:t xml:space="preserve">This </w:t>
            </w:r>
            <w:r>
              <w:rPr>
                <w:rFonts w:ascii="Gotham Book" w:hAnsi="Gotham Book"/>
                <w:color w:val="auto"/>
                <w:sz w:val="24"/>
                <w:szCs w:val="24"/>
              </w:rPr>
              <w:t>slideshow</w:t>
            </w:r>
            <w:r w:rsidRPr="00D45EE9">
              <w:rPr>
                <w:rFonts w:ascii="Gotham Book" w:hAnsi="Gotham Book"/>
                <w:color w:val="auto"/>
                <w:sz w:val="24"/>
                <w:szCs w:val="24"/>
              </w:rPr>
              <w:t xml:space="preserve"> presentation is an examination and comparison of the public and private treaties signed by San</w:t>
            </w:r>
            <w:r w:rsidR="00316337">
              <w:rPr>
                <w:rFonts w:ascii="Gotham Book" w:hAnsi="Gotham Book"/>
                <w:color w:val="auto"/>
                <w:sz w:val="24"/>
                <w:szCs w:val="24"/>
              </w:rPr>
              <w:t>t</w:t>
            </w:r>
            <w:r w:rsidRPr="00D45EE9">
              <w:rPr>
                <w:rFonts w:ascii="Gotham Book" w:hAnsi="Gotham Book"/>
                <w:color w:val="auto"/>
                <w:sz w:val="24"/>
                <w:szCs w:val="24"/>
              </w:rPr>
              <w:t>a Anna, David Burnett, and other Texas officials to end the Revolution and recognize Texas as an independent Republic.</w:t>
            </w:r>
            <w:r w:rsidR="00D264B7" w:rsidRPr="00D45EE9">
              <w:rPr>
                <w:rFonts w:ascii="Gotham Book" w:hAnsi="Gotham Book"/>
                <w:i/>
                <w:color w:val="auto"/>
                <w:sz w:val="20"/>
                <w:szCs w:val="20"/>
              </w:rPr>
              <w:t xml:space="preserve"> </w:t>
            </w:r>
          </w:p>
          <w:p w14:paraId="6344BC71" w14:textId="77777777" w:rsidR="00D264B7" w:rsidRDefault="00D264B7" w:rsidP="00D264B7">
            <w:pPr>
              <w:rPr>
                <w:rFonts w:ascii="Gotham Book" w:hAnsi="Gotham Book"/>
                <w:i/>
                <w:color w:val="auto"/>
                <w:sz w:val="20"/>
                <w:szCs w:val="20"/>
              </w:rPr>
            </w:pPr>
          </w:p>
          <w:p w14:paraId="54073A49" w14:textId="586CDC1A" w:rsidR="00D947B3" w:rsidRPr="00D45EE9" w:rsidRDefault="00D45EE9" w:rsidP="00D264B7">
            <w:pPr>
              <w:rPr>
                <w:rFonts w:ascii="Gotham Book" w:eastAsia="Actor" w:hAnsi="Gotham Book" w:cs="Actor"/>
                <w:b/>
                <w:i/>
                <w:color w:val="auto"/>
                <w:sz w:val="20"/>
                <w:szCs w:val="20"/>
              </w:rPr>
            </w:pPr>
            <w:r w:rsidRPr="00D45EE9">
              <w:rPr>
                <w:rFonts w:ascii="Gotham Book" w:hAnsi="Gotham Book"/>
                <w:i/>
                <w:color w:val="auto"/>
                <w:sz w:val="20"/>
                <w:szCs w:val="20"/>
              </w:rPr>
              <w:t>Suggested printing: 1 per student as needed for note taking accommodations</w:t>
            </w:r>
          </w:p>
        </w:tc>
        <w:tc>
          <w:tcPr>
            <w:tcW w:w="1489" w:type="pct"/>
          </w:tcPr>
          <w:p w14:paraId="12A1F4B8" w14:textId="68F55708" w:rsidR="00D84EE7" w:rsidRPr="00BE1A72" w:rsidRDefault="009A6893" w:rsidP="00D84EE7">
            <w:pPr>
              <w:rPr>
                <w:rFonts w:ascii="Gotham Book" w:hAnsi="Gotham Book"/>
                <w:color w:val="auto"/>
                <w:sz w:val="24"/>
                <w:szCs w:val="24"/>
              </w:rPr>
            </w:pPr>
            <w:r w:rsidRPr="00BE1A72">
              <w:rPr>
                <w:rFonts w:ascii="Gotham Book" w:hAnsi="Gotham Book"/>
                <w:color w:val="auto"/>
                <w:sz w:val="24"/>
                <w:szCs w:val="24"/>
              </w:rPr>
              <w:t>7.3</w:t>
            </w:r>
            <w:r w:rsidR="00D947B3" w:rsidRPr="00BE1A72">
              <w:rPr>
                <w:rFonts w:ascii="Gotham Book" w:hAnsi="Gotham Book"/>
                <w:color w:val="auto"/>
                <w:sz w:val="24"/>
                <w:szCs w:val="24"/>
              </w:rPr>
              <w:t>(A)</w:t>
            </w:r>
            <w:r w:rsidR="00D84EE7" w:rsidRPr="00BE1A72">
              <w:rPr>
                <w:rFonts w:ascii="Gotham Book" w:hAnsi="Gotham Book"/>
                <w:color w:val="auto"/>
                <w:sz w:val="24"/>
                <w:szCs w:val="24"/>
              </w:rPr>
              <w:t>(C)</w:t>
            </w:r>
          </w:p>
          <w:p w14:paraId="3629B7BC" w14:textId="73521E73"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7.16(A)</w:t>
            </w:r>
          </w:p>
          <w:p w14:paraId="137E0177" w14:textId="27409D1E"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7.20</w:t>
            </w:r>
            <w:r w:rsidR="00D947B3" w:rsidRPr="00BE1A72">
              <w:rPr>
                <w:rFonts w:ascii="Gotham Book" w:hAnsi="Gotham Book"/>
                <w:color w:val="auto"/>
                <w:sz w:val="24"/>
                <w:szCs w:val="24"/>
              </w:rPr>
              <w:t xml:space="preserve">(B)(C)(D) </w:t>
            </w:r>
          </w:p>
          <w:p w14:paraId="0F8B9468" w14:textId="77777777" w:rsidR="00D947B3" w:rsidRPr="00BE1A72" w:rsidRDefault="00D947B3" w:rsidP="007403F0">
            <w:pPr>
              <w:rPr>
                <w:rFonts w:ascii="Gotham Book" w:hAnsi="Gotham Book"/>
                <w:color w:val="auto"/>
                <w:sz w:val="24"/>
                <w:szCs w:val="24"/>
              </w:rPr>
            </w:pPr>
          </w:p>
          <w:p w14:paraId="5DA12520" w14:textId="6D79B218" w:rsidR="009A6893" w:rsidRDefault="009A6893" w:rsidP="007403F0">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6</w:t>
            </w:r>
            <w:r w:rsidR="00D45EE9">
              <w:rPr>
                <w:rFonts w:ascii="Gotham Book" w:hAnsi="Gotham Book"/>
                <w:color w:val="auto"/>
                <w:sz w:val="24"/>
                <w:szCs w:val="24"/>
              </w:rPr>
              <w:t>(A)(C)</w:t>
            </w:r>
            <w:r w:rsidR="00D84EE7" w:rsidRPr="00BE1A72">
              <w:rPr>
                <w:rFonts w:ascii="Gotham Book" w:hAnsi="Gotham Book"/>
                <w:color w:val="auto"/>
                <w:sz w:val="24"/>
                <w:szCs w:val="24"/>
              </w:rPr>
              <w:t xml:space="preserve"> </w:t>
            </w:r>
            <w:r w:rsidRPr="00BE1A72">
              <w:rPr>
                <w:rFonts w:ascii="Gotham Book" w:hAnsi="Gotham Book"/>
                <w:color w:val="auto"/>
                <w:sz w:val="24"/>
                <w:szCs w:val="24"/>
              </w:rPr>
              <w:t>ELA</w:t>
            </w:r>
          </w:p>
          <w:p w14:paraId="70B224DF" w14:textId="7D3D7D6A" w:rsidR="00D45EE9" w:rsidRDefault="00D45EE9" w:rsidP="007403F0">
            <w:pPr>
              <w:rPr>
                <w:rFonts w:ascii="Gotham Book" w:hAnsi="Gotham Book"/>
                <w:color w:val="auto"/>
                <w:sz w:val="24"/>
                <w:szCs w:val="24"/>
              </w:rPr>
            </w:pPr>
          </w:p>
          <w:p w14:paraId="3B0135D5" w14:textId="7F1C81D7" w:rsidR="00D45EE9" w:rsidRDefault="00D45EE9" w:rsidP="007403F0">
            <w:pPr>
              <w:rPr>
                <w:rFonts w:ascii="Gotham Book" w:hAnsi="Gotham Book"/>
                <w:color w:val="auto"/>
                <w:sz w:val="24"/>
                <w:szCs w:val="24"/>
              </w:rPr>
            </w:pPr>
            <w:r>
              <w:rPr>
                <w:rFonts w:ascii="Gotham Book" w:hAnsi="Gotham Book"/>
                <w:color w:val="auto"/>
                <w:sz w:val="24"/>
                <w:szCs w:val="24"/>
              </w:rPr>
              <w:t>8.15 SS</w:t>
            </w:r>
          </w:p>
          <w:p w14:paraId="03AE0786" w14:textId="39681465" w:rsidR="00D45EE9" w:rsidRPr="00BE1A72" w:rsidRDefault="00D45EE9" w:rsidP="007403F0">
            <w:pPr>
              <w:rPr>
                <w:rFonts w:ascii="Gotham Book" w:hAnsi="Gotham Book"/>
                <w:color w:val="auto"/>
                <w:sz w:val="24"/>
                <w:szCs w:val="24"/>
              </w:rPr>
            </w:pPr>
            <w:r>
              <w:rPr>
                <w:rFonts w:ascii="Gotham Book" w:hAnsi="Gotham Book"/>
                <w:color w:val="auto"/>
                <w:sz w:val="24"/>
                <w:szCs w:val="24"/>
              </w:rPr>
              <w:t>8.17 SS</w:t>
            </w:r>
          </w:p>
          <w:p w14:paraId="78C90A2F" w14:textId="183A3DF1" w:rsidR="00D947B3" w:rsidRPr="00BE1A72" w:rsidRDefault="00D947B3" w:rsidP="007403F0">
            <w:pPr>
              <w:rPr>
                <w:rFonts w:ascii="Gotham Book" w:hAnsi="Gotham Book"/>
                <w:color w:val="auto"/>
                <w:sz w:val="24"/>
                <w:szCs w:val="24"/>
              </w:rPr>
            </w:pPr>
          </w:p>
        </w:tc>
      </w:tr>
      <w:tr w:rsidR="00D947B3" w:rsidRPr="00BE1A72" w14:paraId="50F38BBD" w14:textId="77777777" w:rsidTr="00D45EE9">
        <w:trPr>
          <w:cantSplit/>
          <w:trHeight w:val="440"/>
        </w:trPr>
        <w:tc>
          <w:tcPr>
            <w:tcW w:w="1166" w:type="pct"/>
          </w:tcPr>
          <w:p w14:paraId="1F70BA41" w14:textId="17E44C27" w:rsidR="00D947B3" w:rsidRPr="000527EB" w:rsidRDefault="00D45EE9" w:rsidP="007403F0">
            <w:pPr>
              <w:rPr>
                <w:rFonts w:ascii="Gotham Book" w:hAnsi="Gotham Book"/>
                <w:b/>
                <w:color w:val="auto"/>
                <w:sz w:val="24"/>
                <w:szCs w:val="24"/>
              </w:rPr>
            </w:pPr>
            <w:r w:rsidRPr="000527EB">
              <w:rPr>
                <w:rFonts w:ascii="Gotham Book" w:hAnsi="Gotham Book"/>
                <w:b/>
                <w:color w:val="auto"/>
                <w:sz w:val="24"/>
                <w:szCs w:val="24"/>
              </w:rPr>
              <w:t>Treaties of Velasco</w:t>
            </w:r>
            <w:r w:rsidR="00D947B3" w:rsidRPr="000527EB">
              <w:rPr>
                <w:rFonts w:ascii="Gotham Book" w:hAnsi="Gotham Book"/>
                <w:b/>
                <w:color w:val="auto"/>
                <w:sz w:val="24"/>
                <w:szCs w:val="24"/>
              </w:rPr>
              <w:t xml:space="preserve"> </w:t>
            </w:r>
          </w:p>
        </w:tc>
        <w:tc>
          <w:tcPr>
            <w:tcW w:w="2345" w:type="pct"/>
          </w:tcPr>
          <w:p w14:paraId="7681F85B" w14:textId="6230186B" w:rsidR="00D45EE9" w:rsidRPr="00D45EE9" w:rsidRDefault="00D45EE9" w:rsidP="00D45EE9">
            <w:pPr>
              <w:rPr>
                <w:rFonts w:ascii="Gotham Book" w:hAnsi="Gotham Book"/>
                <w:color w:val="auto"/>
                <w:sz w:val="24"/>
                <w:szCs w:val="24"/>
              </w:rPr>
            </w:pPr>
            <w:r w:rsidRPr="00D45EE9">
              <w:rPr>
                <w:rFonts w:ascii="Gotham Book" w:hAnsi="Gotham Book"/>
                <w:color w:val="auto"/>
                <w:sz w:val="24"/>
                <w:szCs w:val="24"/>
              </w:rPr>
              <w:t xml:space="preserve">This printable primary source document is intended to be used along with the </w:t>
            </w:r>
            <w:r>
              <w:rPr>
                <w:rFonts w:ascii="Gotham Book" w:hAnsi="Gotham Book"/>
                <w:color w:val="auto"/>
                <w:sz w:val="24"/>
                <w:szCs w:val="24"/>
              </w:rPr>
              <w:t xml:space="preserve">slideshow </w:t>
            </w:r>
            <w:r w:rsidRPr="00D45EE9">
              <w:rPr>
                <w:rFonts w:ascii="Gotham Book" w:hAnsi="Gotham Book"/>
                <w:color w:val="auto"/>
                <w:sz w:val="24"/>
                <w:szCs w:val="24"/>
              </w:rPr>
              <w:t>presentation</w:t>
            </w:r>
            <w:r w:rsidR="00316337">
              <w:rPr>
                <w:rFonts w:ascii="Gotham Book" w:hAnsi="Gotham Book"/>
                <w:color w:val="auto"/>
                <w:sz w:val="24"/>
                <w:szCs w:val="24"/>
              </w:rPr>
              <w:t>.</w:t>
            </w:r>
            <w:r w:rsidRPr="00D45EE9">
              <w:rPr>
                <w:rFonts w:ascii="Gotham Book" w:hAnsi="Gotham Book"/>
                <w:color w:val="auto"/>
                <w:sz w:val="24"/>
                <w:szCs w:val="24"/>
              </w:rPr>
              <w:t xml:space="preserve"> Students will analyze and compare the two Treaties of Velasco and form conclusions regarding the agreements to end the Revolution. </w:t>
            </w:r>
          </w:p>
          <w:p w14:paraId="7321A5D4" w14:textId="77777777" w:rsidR="00D45EE9" w:rsidRPr="00D45EE9" w:rsidRDefault="00D45EE9" w:rsidP="00D45EE9">
            <w:pPr>
              <w:rPr>
                <w:rFonts w:ascii="Gotham Book" w:hAnsi="Gotham Book"/>
                <w:color w:val="auto"/>
                <w:sz w:val="24"/>
                <w:szCs w:val="24"/>
              </w:rPr>
            </w:pPr>
          </w:p>
          <w:p w14:paraId="78919B57" w14:textId="1084611D" w:rsidR="00D947B3" w:rsidRPr="00BF0D65" w:rsidRDefault="00D45EE9" w:rsidP="00D45EE9">
            <w:pPr>
              <w:rPr>
                <w:rFonts w:ascii="Gotham Book" w:hAnsi="Gotham Book"/>
                <w:i/>
                <w:color w:val="auto"/>
                <w:sz w:val="20"/>
                <w:szCs w:val="20"/>
              </w:rPr>
            </w:pPr>
            <w:r>
              <w:rPr>
                <w:rFonts w:ascii="Gotham Book" w:hAnsi="Gotham Book"/>
                <w:i/>
                <w:color w:val="auto"/>
                <w:sz w:val="20"/>
                <w:szCs w:val="20"/>
              </w:rPr>
              <w:t>Su</w:t>
            </w:r>
            <w:r w:rsidR="00D947B3" w:rsidRPr="00BF0D65">
              <w:rPr>
                <w:rFonts w:ascii="Gotham Book" w:hAnsi="Gotham Book"/>
                <w:i/>
                <w:color w:val="auto"/>
                <w:sz w:val="20"/>
                <w:szCs w:val="20"/>
              </w:rPr>
              <w:t>ggested printing: 1 per student</w:t>
            </w:r>
            <w:r>
              <w:rPr>
                <w:rFonts w:ascii="Gotham Book" w:hAnsi="Gotham Book"/>
                <w:i/>
                <w:color w:val="auto"/>
                <w:sz w:val="20"/>
                <w:szCs w:val="20"/>
              </w:rPr>
              <w:t xml:space="preserve"> or group</w:t>
            </w:r>
          </w:p>
        </w:tc>
        <w:tc>
          <w:tcPr>
            <w:tcW w:w="1489" w:type="pct"/>
          </w:tcPr>
          <w:p w14:paraId="56FF3F1F" w14:textId="44EAF9D9" w:rsidR="00D45EE9" w:rsidRDefault="00D45EE9" w:rsidP="00D45EE9">
            <w:pPr>
              <w:rPr>
                <w:rFonts w:ascii="Gotham Book" w:hAnsi="Gotham Book"/>
                <w:color w:val="auto"/>
                <w:sz w:val="24"/>
                <w:szCs w:val="24"/>
              </w:rPr>
            </w:pPr>
            <w:r w:rsidRPr="00BE1A72">
              <w:rPr>
                <w:rFonts w:ascii="Gotham Book" w:hAnsi="Gotham Book"/>
                <w:color w:val="auto"/>
                <w:sz w:val="24"/>
                <w:szCs w:val="24"/>
              </w:rPr>
              <w:t>7.3(A)(C)</w:t>
            </w:r>
          </w:p>
          <w:p w14:paraId="057FCA3C" w14:textId="056FE096" w:rsidR="00D45EE9" w:rsidRPr="00BE1A72" w:rsidRDefault="00D45EE9" w:rsidP="00D45EE9">
            <w:pPr>
              <w:rPr>
                <w:rFonts w:ascii="Gotham Book" w:hAnsi="Gotham Book"/>
                <w:color w:val="auto"/>
                <w:sz w:val="24"/>
                <w:szCs w:val="24"/>
              </w:rPr>
            </w:pPr>
            <w:r>
              <w:rPr>
                <w:rFonts w:ascii="Gotham Book" w:hAnsi="Gotham Book"/>
                <w:color w:val="auto"/>
                <w:sz w:val="24"/>
                <w:szCs w:val="24"/>
              </w:rPr>
              <w:t>7.5(A)</w:t>
            </w:r>
          </w:p>
          <w:p w14:paraId="19257E47" w14:textId="77777777"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7.16(A)</w:t>
            </w:r>
          </w:p>
          <w:p w14:paraId="4E6A207D" w14:textId="77777777"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 xml:space="preserve">7.20(B)(C)(D) </w:t>
            </w:r>
          </w:p>
          <w:p w14:paraId="586D4C2D" w14:textId="77777777" w:rsidR="00D45EE9" w:rsidRPr="00BE1A72" w:rsidRDefault="00D45EE9" w:rsidP="00D45EE9">
            <w:pPr>
              <w:rPr>
                <w:rFonts w:ascii="Gotham Book" w:hAnsi="Gotham Book"/>
                <w:color w:val="auto"/>
                <w:sz w:val="24"/>
                <w:szCs w:val="24"/>
              </w:rPr>
            </w:pPr>
          </w:p>
          <w:p w14:paraId="74104258" w14:textId="77777777" w:rsidR="00D45EE9" w:rsidRDefault="00D45EE9" w:rsidP="00D45EE9">
            <w:pPr>
              <w:rPr>
                <w:rFonts w:ascii="Gotham Book" w:hAnsi="Gotham Book"/>
                <w:color w:val="auto"/>
                <w:sz w:val="24"/>
                <w:szCs w:val="24"/>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p w14:paraId="2ECE2EAB" w14:textId="77777777" w:rsidR="00D45EE9" w:rsidRDefault="00D45EE9" w:rsidP="00D45EE9">
            <w:pPr>
              <w:rPr>
                <w:rFonts w:ascii="Gotham Book" w:hAnsi="Gotham Book"/>
                <w:color w:val="auto"/>
                <w:sz w:val="24"/>
                <w:szCs w:val="24"/>
              </w:rPr>
            </w:pPr>
          </w:p>
          <w:p w14:paraId="125E9129" w14:textId="77FD99B9" w:rsidR="00D947B3" w:rsidRPr="00BE1A72" w:rsidRDefault="00D947B3" w:rsidP="00D45EE9">
            <w:pPr>
              <w:rPr>
                <w:rFonts w:ascii="Gotham Book" w:hAnsi="Gotham Book"/>
                <w:color w:val="auto"/>
                <w:sz w:val="24"/>
                <w:szCs w:val="24"/>
              </w:rPr>
            </w:pPr>
          </w:p>
        </w:tc>
      </w:tr>
      <w:tr w:rsidR="00D947B3" w:rsidRPr="00BE1A72" w14:paraId="459ED9BA" w14:textId="77777777" w:rsidTr="00D45EE9">
        <w:trPr>
          <w:cantSplit/>
          <w:trHeight w:val="440"/>
        </w:trPr>
        <w:tc>
          <w:tcPr>
            <w:tcW w:w="1166" w:type="pct"/>
          </w:tcPr>
          <w:p w14:paraId="2A44B431" w14:textId="36D0EBBC" w:rsidR="00D947B3" w:rsidRPr="000527EB" w:rsidRDefault="00D947B3" w:rsidP="007403F0">
            <w:pPr>
              <w:rPr>
                <w:rFonts w:ascii="Gotham Book" w:hAnsi="Gotham Book"/>
                <w:b/>
                <w:color w:val="auto"/>
                <w:sz w:val="24"/>
                <w:szCs w:val="24"/>
              </w:rPr>
            </w:pPr>
            <w:r w:rsidRPr="000527EB">
              <w:rPr>
                <w:rFonts w:ascii="Gotham Book" w:hAnsi="Gotham Book"/>
                <w:b/>
                <w:color w:val="auto"/>
                <w:sz w:val="24"/>
                <w:szCs w:val="24"/>
              </w:rPr>
              <w:t>A</w:t>
            </w:r>
            <w:r w:rsidR="00D45EE9" w:rsidRPr="000527EB">
              <w:rPr>
                <w:rFonts w:ascii="Gotham Book" w:hAnsi="Gotham Book"/>
                <w:b/>
                <w:color w:val="auto"/>
                <w:sz w:val="24"/>
                <w:szCs w:val="24"/>
              </w:rPr>
              <w:t xml:space="preserve">ftermath of the Texas Revolution: Cotton and Slavery </w:t>
            </w:r>
          </w:p>
        </w:tc>
        <w:tc>
          <w:tcPr>
            <w:tcW w:w="2345" w:type="pct"/>
          </w:tcPr>
          <w:p w14:paraId="3083DAD1" w14:textId="77777777" w:rsidR="00031623" w:rsidRDefault="00D947B3" w:rsidP="00031623">
            <w:pPr>
              <w:rPr>
                <w:rFonts w:ascii="Gotham Book" w:hAnsi="Gotham Book"/>
                <w:i/>
                <w:color w:val="auto"/>
                <w:sz w:val="20"/>
                <w:szCs w:val="20"/>
              </w:rPr>
            </w:pPr>
            <w:r w:rsidRPr="00BE1A72">
              <w:rPr>
                <w:rFonts w:ascii="Gotham Book" w:hAnsi="Gotham Book"/>
                <w:color w:val="auto"/>
                <w:sz w:val="24"/>
                <w:szCs w:val="24"/>
              </w:rPr>
              <w:t xml:space="preserve">This printable primary source document should be used in conjunction with the </w:t>
            </w:r>
            <w:r w:rsidR="00316337">
              <w:rPr>
                <w:rFonts w:ascii="Gotham Book" w:hAnsi="Gotham Book"/>
                <w:color w:val="auto"/>
                <w:sz w:val="24"/>
                <w:szCs w:val="24"/>
              </w:rPr>
              <w:t>first</w:t>
            </w:r>
            <w:r w:rsidRPr="00BE1A72">
              <w:rPr>
                <w:rFonts w:ascii="Gotham Book" w:hAnsi="Gotham Book"/>
                <w:color w:val="auto"/>
                <w:sz w:val="24"/>
                <w:szCs w:val="24"/>
              </w:rPr>
              <w:t xml:space="preserve"> “Think-Pair-Share” activity.</w:t>
            </w:r>
            <w:r w:rsidR="00031623" w:rsidRPr="00BF0D65">
              <w:rPr>
                <w:rFonts w:ascii="Gotham Book" w:hAnsi="Gotham Book"/>
                <w:i/>
                <w:color w:val="auto"/>
                <w:sz w:val="20"/>
                <w:szCs w:val="20"/>
              </w:rPr>
              <w:t xml:space="preserve"> </w:t>
            </w:r>
          </w:p>
          <w:p w14:paraId="1DBC9DA1" w14:textId="77777777" w:rsidR="00031623" w:rsidRDefault="00031623" w:rsidP="00031623">
            <w:pPr>
              <w:rPr>
                <w:rFonts w:ascii="Gotham Book" w:hAnsi="Gotham Book"/>
                <w:i/>
                <w:color w:val="auto"/>
                <w:sz w:val="20"/>
                <w:szCs w:val="20"/>
              </w:rPr>
            </w:pPr>
          </w:p>
          <w:p w14:paraId="24C4AFB1" w14:textId="65071F2B" w:rsidR="00D947B3" w:rsidRPr="00BF0D65" w:rsidRDefault="00D947B3" w:rsidP="00031623">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57DCDE3C" w14:textId="77777777" w:rsidR="00D45EE9" w:rsidRDefault="00D45EE9" w:rsidP="00D45EE9">
            <w:pPr>
              <w:rPr>
                <w:rFonts w:ascii="Gotham Book" w:hAnsi="Gotham Book"/>
                <w:color w:val="auto"/>
                <w:sz w:val="24"/>
                <w:szCs w:val="24"/>
              </w:rPr>
            </w:pPr>
            <w:r w:rsidRPr="00BE1A72">
              <w:rPr>
                <w:rFonts w:ascii="Gotham Book" w:hAnsi="Gotham Book"/>
                <w:color w:val="auto"/>
                <w:sz w:val="24"/>
                <w:szCs w:val="24"/>
              </w:rPr>
              <w:t>7.3(A)(C)</w:t>
            </w:r>
          </w:p>
          <w:p w14:paraId="4F468B6C" w14:textId="77777777" w:rsidR="00D45EE9" w:rsidRPr="00BE1A72" w:rsidRDefault="00D45EE9" w:rsidP="00D45EE9">
            <w:pPr>
              <w:rPr>
                <w:rFonts w:ascii="Gotham Book" w:hAnsi="Gotham Book"/>
                <w:color w:val="auto"/>
                <w:sz w:val="24"/>
                <w:szCs w:val="24"/>
              </w:rPr>
            </w:pPr>
            <w:r>
              <w:rPr>
                <w:rFonts w:ascii="Gotham Book" w:hAnsi="Gotham Book"/>
                <w:color w:val="auto"/>
                <w:sz w:val="24"/>
                <w:szCs w:val="24"/>
              </w:rPr>
              <w:t>7.5(A)</w:t>
            </w:r>
          </w:p>
          <w:p w14:paraId="605F9017" w14:textId="77777777"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7.16(A)</w:t>
            </w:r>
          </w:p>
          <w:p w14:paraId="4D27A4BC" w14:textId="77777777"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 xml:space="preserve">7.20(B)(C)(D) </w:t>
            </w:r>
          </w:p>
          <w:p w14:paraId="04E7AD19" w14:textId="77777777" w:rsidR="00D45EE9" w:rsidRPr="00BE1A72" w:rsidRDefault="00D45EE9" w:rsidP="00D45EE9">
            <w:pPr>
              <w:rPr>
                <w:rFonts w:ascii="Gotham Book" w:hAnsi="Gotham Book"/>
                <w:color w:val="auto"/>
                <w:sz w:val="24"/>
                <w:szCs w:val="24"/>
              </w:rPr>
            </w:pPr>
          </w:p>
          <w:p w14:paraId="76C6D9CF" w14:textId="17DCDB2E" w:rsidR="00D947B3" w:rsidRPr="00BE1A72" w:rsidRDefault="00D45EE9" w:rsidP="00316337">
            <w:pPr>
              <w:rPr>
                <w:rFonts w:ascii="Gotham Book" w:hAnsi="Gotham Book"/>
                <w:b/>
                <w:color w:val="auto"/>
                <w:sz w:val="24"/>
                <w:szCs w:val="24"/>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tc>
      </w:tr>
      <w:tr w:rsidR="00D947B3" w:rsidRPr="00BE1A72" w14:paraId="37E9FFC3" w14:textId="77777777" w:rsidTr="00D45EE9">
        <w:trPr>
          <w:cantSplit/>
          <w:trHeight w:val="440"/>
        </w:trPr>
        <w:tc>
          <w:tcPr>
            <w:tcW w:w="1166" w:type="pct"/>
          </w:tcPr>
          <w:p w14:paraId="01323C99" w14:textId="74B2C1F7" w:rsidR="00D947B3" w:rsidRPr="000527EB" w:rsidRDefault="00316337" w:rsidP="007403F0">
            <w:pPr>
              <w:rPr>
                <w:rFonts w:ascii="Gotham Book" w:hAnsi="Gotham Book"/>
                <w:b/>
                <w:color w:val="auto"/>
                <w:sz w:val="24"/>
                <w:szCs w:val="24"/>
              </w:rPr>
            </w:pPr>
            <w:r>
              <w:rPr>
                <w:rFonts w:ascii="Gotham Book" w:hAnsi="Gotham Book"/>
                <w:b/>
                <w:color w:val="auto"/>
                <w:sz w:val="24"/>
                <w:szCs w:val="24"/>
              </w:rPr>
              <w:lastRenderedPageBreak/>
              <w:t xml:space="preserve">Exit Ticket. </w:t>
            </w:r>
            <w:r w:rsidR="001666F4" w:rsidRPr="000527EB">
              <w:rPr>
                <w:rFonts w:ascii="Gotham Book" w:hAnsi="Gotham Book"/>
                <w:b/>
                <w:color w:val="auto"/>
                <w:sz w:val="24"/>
                <w:szCs w:val="24"/>
              </w:rPr>
              <w:t xml:space="preserve">Tejano Perspectives in the Texas Revolution: Juan </w:t>
            </w:r>
            <w:r w:rsidR="00205BBE" w:rsidRPr="00205BBE">
              <w:rPr>
                <w:rFonts w:ascii="Gotham Book" w:hAnsi="Gotham Book"/>
                <w:b/>
                <w:color w:val="auto"/>
                <w:sz w:val="24"/>
                <w:szCs w:val="24"/>
              </w:rPr>
              <w:t>Seguín</w:t>
            </w:r>
            <w:r w:rsidR="001666F4" w:rsidRPr="000527EB">
              <w:rPr>
                <w:rFonts w:ascii="Gotham Book" w:hAnsi="Gotham Book"/>
                <w:b/>
                <w:color w:val="auto"/>
                <w:sz w:val="24"/>
                <w:szCs w:val="24"/>
              </w:rPr>
              <w:t xml:space="preserve"> and a Changing Texas</w:t>
            </w:r>
          </w:p>
        </w:tc>
        <w:tc>
          <w:tcPr>
            <w:tcW w:w="2345" w:type="pct"/>
          </w:tcPr>
          <w:p w14:paraId="7F4B75E5" w14:textId="5179BC2C" w:rsidR="00D947B3" w:rsidRDefault="00D947B3" w:rsidP="007403F0">
            <w:pPr>
              <w:rPr>
                <w:rFonts w:ascii="Gotham Book" w:hAnsi="Gotham Book"/>
                <w:color w:val="auto"/>
                <w:sz w:val="24"/>
                <w:szCs w:val="24"/>
              </w:rPr>
            </w:pPr>
            <w:r w:rsidRPr="00BE1A72">
              <w:rPr>
                <w:rFonts w:ascii="Gotham Book" w:hAnsi="Gotham Book"/>
                <w:color w:val="auto"/>
                <w:sz w:val="24"/>
                <w:szCs w:val="24"/>
              </w:rPr>
              <w:t>This pri</w:t>
            </w:r>
            <w:r w:rsidR="001666F4">
              <w:rPr>
                <w:rFonts w:ascii="Gotham Book" w:hAnsi="Gotham Book"/>
                <w:color w:val="auto"/>
                <w:sz w:val="24"/>
                <w:szCs w:val="24"/>
              </w:rPr>
              <w:t>mary source analysis</w:t>
            </w:r>
            <w:r w:rsidRPr="00BE1A72">
              <w:rPr>
                <w:rFonts w:ascii="Gotham Book" w:hAnsi="Gotham Book"/>
                <w:color w:val="auto"/>
                <w:sz w:val="24"/>
                <w:szCs w:val="24"/>
              </w:rPr>
              <w:t xml:space="preserve"> uses the  essential question above to provide a formative assessment opportunity </w:t>
            </w:r>
            <w:r w:rsidR="001666F4">
              <w:rPr>
                <w:rFonts w:ascii="Gotham Book" w:hAnsi="Gotham Book"/>
                <w:color w:val="auto"/>
                <w:sz w:val="24"/>
                <w:szCs w:val="24"/>
              </w:rPr>
              <w:t xml:space="preserve">for </w:t>
            </w:r>
            <w:r w:rsidRPr="00BE1A72">
              <w:rPr>
                <w:rFonts w:ascii="Gotham Book" w:hAnsi="Gotham Book"/>
                <w:color w:val="auto"/>
                <w:sz w:val="24"/>
                <w:szCs w:val="24"/>
              </w:rPr>
              <w:t>the end of the lesson.</w:t>
            </w:r>
          </w:p>
          <w:p w14:paraId="69AFD08A" w14:textId="77777777" w:rsidR="00D45EE9" w:rsidRPr="00BE1A72" w:rsidRDefault="00D45EE9" w:rsidP="007403F0">
            <w:pPr>
              <w:rPr>
                <w:rFonts w:ascii="Gotham Book" w:hAnsi="Gotham Book"/>
                <w:color w:val="auto"/>
                <w:sz w:val="24"/>
                <w:szCs w:val="24"/>
              </w:rPr>
            </w:pPr>
          </w:p>
          <w:p w14:paraId="0CF6DADD"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201003FE" w14:textId="77777777" w:rsidR="00D45EE9" w:rsidRDefault="00D45EE9" w:rsidP="00D45EE9">
            <w:pPr>
              <w:rPr>
                <w:rFonts w:ascii="Gotham Book" w:hAnsi="Gotham Book"/>
                <w:color w:val="auto"/>
                <w:sz w:val="24"/>
                <w:szCs w:val="24"/>
              </w:rPr>
            </w:pPr>
            <w:r w:rsidRPr="00BE1A72">
              <w:rPr>
                <w:rFonts w:ascii="Gotham Book" w:hAnsi="Gotham Book"/>
                <w:color w:val="auto"/>
                <w:sz w:val="24"/>
                <w:szCs w:val="24"/>
              </w:rPr>
              <w:t>7.3(A)(C)</w:t>
            </w:r>
          </w:p>
          <w:p w14:paraId="441329DE" w14:textId="77777777"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7.16(A)</w:t>
            </w:r>
          </w:p>
          <w:p w14:paraId="2E39FAF2" w14:textId="571BA71D" w:rsidR="00D45EE9" w:rsidRPr="00BE1A72" w:rsidRDefault="00D45EE9" w:rsidP="00D45EE9">
            <w:pPr>
              <w:rPr>
                <w:rFonts w:ascii="Gotham Book" w:hAnsi="Gotham Book"/>
                <w:color w:val="auto"/>
                <w:sz w:val="24"/>
                <w:szCs w:val="24"/>
              </w:rPr>
            </w:pPr>
            <w:r w:rsidRPr="00BE1A72">
              <w:rPr>
                <w:rFonts w:ascii="Gotham Book" w:hAnsi="Gotham Book"/>
                <w:color w:val="auto"/>
                <w:sz w:val="24"/>
                <w:szCs w:val="24"/>
              </w:rPr>
              <w:t>7.20(B)(C)</w:t>
            </w:r>
          </w:p>
          <w:p w14:paraId="015CF2D4" w14:textId="77777777" w:rsidR="00D45EE9" w:rsidRPr="00BE1A72" w:rsidRDefault="00D45EE9" w:rsidP="00D45EE9">
            <w:pPr>
              <w:rPr>
                <w:rFonts w:ascii="Gotham Book" w:hAnsi="Gotham Book"/>
                <w:color w:val="auto"/>
                <w:sz w:val="24"/>
                <w:szCs w:val="24"/>
              </w:rPr>
            </w:pPr>
          </w:p>
          <w:p w14:paraId="65DC6B7B" w14:textId="77777777" w:rsidR="00D45EE9" w:rsidRDefault="00D45EE9" w:rsidP="00D45EE9">
            <w:pPr>
              <w:rPr>
                <w:rFonts w:ascii="Gotham Book" w:hAnsi="Gotham Book"/>
                <w:color w:val="auto"/>
                <w:sz w:val="24"/>
                <w:szCs w:val="24"/>
              </w:rPr>
            </w:pPr>
            <w:r w:rsidRPr="00BE1A72">
              <w:rPr>
                <w:rFonts w:ascii="Gotham Book" w:hAnsi="Gotham Book"/>
                <w:color w:val="auto"/>
                <w:sz w:val="24"/>
                <w:szCs w:val="24"/>
              </w:rPr>
              <w:t>7.6</w:t>
            </w:r>
            <w:r>
              <w:rPr>
                <w:rFonts w:ascii="Gotham Book" w:hAnsi="Gotham Book"/>
                <w:color w:val="auto"/>
                <w:sz w:val="24"/>
                <w:szCs w:val="24"/>
              </w:rPr>
              <w:t>(A)(C)</w:t>
            </w:r>
            <w:r w:rsidRPr="00BE1A72">
              <w:rPr>
                <w:rFonts w:ascii="Gotham Book" w:hAnsi="Gotham Book"/>
                <w:color w:val="auto"/>
                <w:sz w:val="24"/>
                <w:szCs w:val="24"/>
              </w:rPr>
              <w:t xml:space="preserve"> ELA</w:t>
            </w:r>
          </w:p>
          <w:p w14:paraId="64840613" w14:textId="61A55DE5" w:rsidR="00D947B3" w:rsidRPr="00BE1A72" w:rsidRDefault="00D947B3" w:rsidP="007C1B72">
            <w:pPr>
              <w:rPr>
                <w:rFonts w:ascii="Gotham Book" w:hAnsi="Gotham Book"/>
                <w:b/>
                <w:color w:val="auto"/>
                <w:sz w:val="24"/>
                <w:szCs w:val="24"/>
              </w:rPr>
            </w:pP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749980DE" w14:textId="126BEFC5" w:rsidR="00D947B3" w:rsidRPr="00BE1A72" w:rsidRDefault="007C1B72" w:rsidP="00D947B3">
      <w:pPr>
        <w:pStyle w:val="Heading2"/>
        <w:rPr>
          <w:rFonts w:ascii="Gotham Book" w:hAnsi="Gotham Book"/>
          <w:color w:val="auto"/>
          <w:sz w:val="24"/>
          <w:szCs w:val="24"/>
        </w:rPr>
      </w:pPr>
      <w:r w:rsidRPr="00BE1A72">
        <w:rPr>
          <w:rFonts w:ascii="Gotham Book" w:hAnsi="Gotham Book"/>
          <w:color w:val="auto"/>
          <w:sz w:val="24"/>
          <w:szCs w:val="24"/>
        </w:rPr>
        <w:t>Primary Source Documents</w:t>
      </w:r>
    </w:p>
    <w:p w14:paraId="7636F876" w14:textId="77777777" w:rsidR="00D947B3" w:rsidRPr="00BE1A72" w:rsidRDefault="00D947B3" w:rsidP="00D947B3">
      <w:pPr>
        <w:pStyle w:val="Heading3"/>
        <w:rPr>
          <w:rFonts w:ascii="Gotham Book" w:hAnsi="Gotham Book"/>
          <w:color w:val="322E50"/>
        </w:rPr>
      </w:pPr>
    </w:p>
    <w:p w14:paraId="32C25083" w14:textId="2449B705" w:rsidR="00D264B7" w:rsidRDefault="001E7713" w:rsidP="00D264B7">
      <w:pPr>
        <w:rPr>
          <w:rFonts w:ascii="Gotham Book" w:eastAsia="Times New Roman" w:hAnsi="Gotham Book" w:cs="Times New Roman"/>
          <w:color w:val="000000"/>
        </w:rPr>
      </w:pPr>
      <w:hyperlink r:id="rId11" w:history="1">
        <w:r w:rsidR="00D264B7" w:rsidRPr="00D264B7">
          <w:rPr>
            <w:rStyle w:val="Hyperlink"/>
            <w:rFonts w:ascii="Gotham Book" w:eastAsia="Times New Roman" w:hAnsi="Gotham Book" w:cs="Times New Roman"/>
            <w:color w:val="1155CC"/>
          </w:rPr>
          <w:t>Public Treaty of Velasco</w:t>
        </w:r>
      </w:hyperlink>
      <w:r w:rsidR="00D264B7" w:rsidRPr="00D264B7">
        <w:rPr>
          <w:rFonts w:ascii="Gotham Book" w:eastAsia="Times New Roman" w:hAnsi="Gotham Book" w:cs="Times New Roman"/>
          <w:color w:val="000000"/>
        </w:rPr>
        <w:t xml:space="preserve"> - The Portal to Texas History</w:t>
      </w:r>
    </w:p>
    <w:p w14:paraId="3AFEF70F" w14:textId="77777777" w:rsidR="00D264B7" w:rsidRPr="00D264B7" w:rsidRDefault="00D264B7" w:rsidP="00D264B7">
      <w:pPr>
        <w:rPr>
          <w:rFonts w:ascii="Gotham Book" w:eastAsia="Times New Roman" w:hAnsi="Gotham Book" w:cs="Times New Roman"/>
          <w:color w:val="000000"/>
        </w:rPr>
      </w:pPr>
    </w:p>
    <w:p w14:paraId="63977D31" w14:textId="6258D5C9" w:rsidR="00D264B7" w:rsidRDefault="001E7713" w:rsidP="00D264B7">
      <w:pPr>
        <w:rPr>
          <w:rFonts w:ascii="Gotham Book" w:hAnsi="Gotham Book"/>
        </w:rPr>
      </w:pPr>
      <w:hyperlink r:id="rId12" w:history="1">
        <w:r w:rsidR="00D264B7" w:rsidRPr="00D264B7">
          <w:rPr>
            <w:rStyle w:val="Hyperlink"/>
            <w:rFonts w:ascii="Gotham Book" w:eastAsia="Times New Roman" w:hAnsi="Gotham Book" w:cs="Times New Roman"/>
            <w:color w:val="1155CC"/>
          </w:rPr>
          <w:t>Cotton and Slavery Graphs and Charts - Texas Slavery Project</w:t>
        </w:r>
      </w:hyperlink>
    </w:p>
    <w:p w14:paraId="050E69F9" w14:textId="77777777" w:rsidR="00D264B7" w:rsidRPr="00D264B7" w:rsidRDefault="00D264B7" w:rsidP="00D264B7">
      <w:pPr>
        <w:rPr>
          <w:rFonts w:ascii="Gotham Book" w:eastAsia="Times New Roman" w:hAnsi="Gotham Book" w:cs="Times New Roman"/>
          <w:color w:val="000000"/>
        </w:rPr>
      </w:pPr>
    </w:p>
    <w:p w14:paraId="64BE3B43" w14:textId="5EFE2393" w:rsidR="00B07CA0" w:rsidRPr="00BE1A72" w:rsidRDefault="001E7713" w:rsidP="00D264B7">
      <w:pPr>
        <w:pStyle w:val="Heading2"/>
        <w:rPr>
          <w:rFonts w:ascii="Gotham Book" w:hAnsi="Gotham Book"/>
        </w:rPr>
      </w:pPr>
      <w:hyperlink r:id="rId13" w:history="1">
        <w:r w:rsidR="00D264B7" w:rsidRPr="00D264B7">
          <w:rPr>
            <w:rStyle w:val="Hyperlink"/>
            <w:rFonts w:ascii="Gotham Book" w:eastAsia="Times New Roman" w:hAnsi="Gotham Book" w:cs="Times New Roman"/>
            <w:sz w:val="24"/>
            <w:szCs w:val="24"/>
          </w:rPr>
          <w:t>Copy of the Constitution of the Republic of Texas, transcribed by Secretary of Convention, Henry S. Kimble: March 17, 1836</w:t>
        </w:r>
      </w:hyperlink>
      <w:r w:rsidR="00D264B7" w:rsidRPr="00D264B7">
        <w:rPr>
          <w:rFonts w:ascii="Gotham Book" w:eastAsia="Times New Roman" w:hAnsi="Gotham Book" w:cs="Times New Roman"/>
          <w:color w:val="auto"/>
          <w:sz w:val="24"/>
          <w:szCs w:val="24"/>
        </w:rPr>
        <w:t>.</w:t>
      </w:r>
      <w:r w:rsidR="00D264B7">
        <w:rPr>
          <w:rFonts w:ascii="Gotham Book" w:eastAsia="Times New Roman" w:hAnsi="Gotham Book" w:cs="Times New Roman"/>
          <w:color w:val="auto"/>
          <w:sz w:val="24"/>
          <w:szCs w:val="24"/>
        </w:rPr>
        <w:t xml:space="preserve"> </w:t>
      </w:r>
      <w:r w:rsidR="00D264B7" w:rsidRPr="00D264B7">
        <w:rPr>
          <w:rFonts w:ascii="Gotham Book" w:eastAsia="Times New Roman" w:hAnsi="Gotham Book" w:cs="Times New Roman"/>
          <w:color w:val="auto"/>
          <w:sz w:val="24"/>
          <w:szCs w:val="24"/>
        </w:rPr>
        <w:t xml:space="preserve"> The Portal to Texas History</w:t>
      </w:r>
    </w:p>
    <w:p w14:paraId="451C5FC4" w14:textId="77777777" w:rsidR="00D24D1B" w:rsidRPr="00BE1A72" w:rsidRDefault="00D24D1B" w:rsidP="00D947B3">
      <w:pPr>
        <w:rPr>
          <w:rFonts w:ascii="Gotham Book" w:hAnsi="Gotham Book"/>
        </w:rPr>
      </w:pPr>
    </w:p>
    <w:sectPr w:rsidR="00D24D1B" w:rsidRPr="00BE1A72" w:rsidSect="00FC4245">
      <w:headerReference w:type="default" r:id="rId14"/>
      <w:footerReference w:type="default" r:id="rId15"/>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4C34"/>
    <w:rsid w:val="000527EB"/>
    <w:rsid w:val="00053440"/>
    <w:rsid w:val="000576AC"/>
    <w:rsid w:val="00073F73"/>
    <w:rsid w:val="000927DC"/>
    <w:rsid w:val="000D67A5"/>
    <w:rsid w:val="000E591A"/>
    <w:rsid w:val="000F610E"/>
    <w:rsid w:val="00105BD6"/>
    <w:rsid w:val="00116062"/>
    <w:rsid w:val="001318BD"/>
    <w:rsid w:val="00144D3A"/>
    <w:rsid w:val="00154324"/>
    <w:rsid w:val="001666F4"/>
    <w:rsid w:val="00166F81"/>
    <w:rsid w:val="00187C07"/>
    <w:rsid w:val="001E6A60"/>
    <w:rsid w:val="001E7713"/>
    <w:rsid w:val="00205BBE"/>
    <w:rsid w:val="002211F5"/>
    <w:rsid w:val="00242B3A"/>
    <w:rsid w:val="00270A8E"/>
    <w:rsid w:val="002B118A"/>
    <w:rsid w:val="002C55B5"/>
    <w:rsid w:val="002D547A"/>
    <w:rsid w:val="002D7917"/>
    <w:rsid w:val="003007BC"/>
    <w:rsid w:val="00310D4C"/>
    <w:rsid w:val="00316337"/>
    <w:rsid w:val="0032725B"/>
    <w:rsid w:val="0034467F"/>
    <w:rsid w:val="00351138"/>
    <w:rsid w:val="00353D9A"/>
    <w:rsid w:val="0037687D"/>
    <w:rsid w:val="003A6B0A"/>
    <w:rsid w:val="003C70EE"/>
    <w:rsid w:val="003D5AA6"/>
    <w:rsid w:val="004A1101"/>
    <w:rsid w:val="004A4767"/>
    <w:rsid w:val="004F181D"/>
    <w:rsid w:val="004F59CD"/>
    <w:rsid w:val="00510DDD"/>
    <w:rsid w:val="0052627A"/>
    <w:rsid w:val="005655EC"/>
    <w:rsid w:val="00582781"/>
    <w:rsid w:val="00597AC5"/>
    <w:rsid w:val="005C5341"/>
    <w:rsid w:val="006203BD"/>
    <w:rsid w:val="006220B3"/>
    <w:rsid w:val="006270BC"/>
    <w:rsid w:val="00630120"/>
    <w:rsid w:val="00673795"/>
    <w:rsid w:val="006776CA"/>
    <w:rsid w:val="00683607"/>
    <w:rsid w:val="006963CB"/>
    <w:rsid w:val="006B76C3"/>
    <w:rsid w:val="006D1BC9"/>
    <w:rsid w:val="006E2D34"/>
    <w:rsid w:val="006F7E8E"/>
    <w:rsid w:val="0070655F"/>
    <w:rsid w:val="00711078"/>
    <w:rsid w:val="00714361"/>
    <w:rsid w:val="0076787A"/>
    <w:rsid w:val="0077045D"/>
    <w:rsid w:val="00772AAF"/>
    <w:rsid w:val="00777189"/>
    <w:rsid w:val="007C1B72"/>
    <w:rsid w:val="007F59C1"/>
    <w:rsid w:val="008159B8"/>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A6893"/>
    <w:rsid w:val="009A761B"/>
    <w:rsid w:val="009E7A29"/>
    <w:rsid w:val="009F1125"/>
    <w:rsid w:val="009F33CD"/>
    <w:rsid w:val="00A30BEC"/>
    <w:rsid w:val="00A44C73"/>
    <w:rsid w:val="00A526AF"/>
    <w:rsid w:val="00A52B9F"/>
    <w:rsid w:val="00A7573D"/>
    <w:rsid w:val="00A834EC"/>
    <w:rsid w:val="00AC54A0"/>
    <w:rsid w:val="00AF265F"/>
    <w:rsid w:val="00B07CA0"/>
    <w:rsid w:val="00B138DC"/>
    <w:rsid w:val="00B26A02"/>
    <w:rsid w:val="00B74054"/>
    <w:rsid w:val="00B91D20"/>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264B7"/>
    <w:rsid w:val="00D40CCB"/>
    <w:rsid w:val="00D45EE9"/>
    <w:rsid w:val="00D57368"/>
    <w:rsid w:val="00D84EE7"/>
    <w:rsid w:val="00D947B3"/>
    <w:rsid w:val="00DA0188"/>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ashistory.unt.edu/ark:/67531/metapth6708/?q=%22Government%20and%20Law%20-%20Constitutions%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xasslaveryproject.org/database/graph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31159/?q=%22Treaty%20of%20Velasco%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purl.org/dc/dcmitype/"/>
    <ds:schemaRef ds:uri="c9d2663c-d922-4697-875d-fa17f01068b5"/>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abe1a9c9-0c6d-433c-adda-7fbcb047a719"/>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cp:lastPrinted>2021-07-06T16:11:00Z</cp:lastPrinted>
  <dcterms:created xsi:type="dcterms:W3CDTF">2022-02-28T16:30:00Z</dcterms:created>
  <dcterms:modified xsi:type="dcterms:W3CDTF">2022-02-28T17:55:00Z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