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0668" w14:textId="3673996B" w:rsidR="00D316F1" w:rsidRPr="00EC31C2" w:rsidRDefault="00D316F1" w:rsidP="00D316F1">
      <w:pPr>
        <w:spacing w:after="0" w:line="240" w:lineRule="auto"/>
        <w:jc w:val="center"/>
        <w:rPr>
          <w:rFonts w:ascii="Gotham Book" w:hAnsi="Gotham Book"/>
          <w:color w:val="747474" w:themeColor="background2" w:themeShade="80"/>
          <w:sz w:val="46"/>
          <w:szCs w:val="44"/>
        </w:rPr>
      </w:pPr>
      <w:bookmarkStart w:id="0" w:name="_Hlk171670584"/>
      <w:r w:rsidRPr="00EC31C2">
        <w:rPr>
          <w:rFonts w:ascii="Gotham Book" w:hAnsi="Gotham Book"/>
          <w:color w:val="747474" w:themeColor="background2" w:themeShade="80"/>
          <w:sz w:val="46"/>
          <w:szCs w:val="44"/>
        </w:rPr>
        <w:t xml:space="preserve">Unit </w:t>
      </w:r>
      <w:r>
        <w:rPr>
          <w:rFonts w:ascii="Gotham Book" w:hAnsi="Gotham Book"/>
          <w:color w:val="747474" w:themeColor="background2" w:themeShade="80"/>
          <w:sz w:val="46"/>
          <w:szCs w:val="44"/>
        </w:rPr>
        <w:t>5</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Texas Revolution</w:t>
      </w:r>
    </w:p>
    <w:p w14:paraId="1025B4ED" w14:textId="0808C23F" w:rsidR="00D316F1" w:rsidRPr="00EC31C2" w:rsidRDefault="00D316F1" w:rsidP="00D316F1">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Events of the Revolution</w:t>
      </w:r>
    </w:p>
    <w:p w14:paraId="119AA637" w14:textId="262EA79D" w:rsidR="00D316F1" w:rsidRPr="00EC31C2" w:rsidRDefault="00D316F1" w:rsidP="00D316F1">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 xml:space="preserve">Approximately 135 </w:t>
      </w:r>
      <w:r w:rsidR="00763B64">
        <w:rPr>
          <w:rFonts w:ascii="Gotham Book" w:hAnsi="Gotham Book"/>
          <w:b/>
          <w:bCs/>
          <w:color w:val="747474" w:themeColor="background2" w:themeShade="80"/>
          <w:sz w:val="32"/>
          <w:szCs w:val="28"/>
        </w:rPr>
        <w:t xml:space="preserve">– 180 </w:t>
      </w:r>
      <w:r>
        <w:rPr>
          <w:rFonts w:ascii="Gotham Book" w:hAnsi="Gotham Book"/>
          <w:b/>
          <w:bCs/>
          <w:color w:val="747474" w:themeColor="background2" w:themeShade="80"/>
          <w:sz w:val="32"/>
          <w:szCs w:val="28"/>
        </w:rPr>
        <w:t>minutes</w:t>
      </w:r>
      <w:r w:rsidRPr="00EC31C2">
        <w:rPr>
          <w:rFonts w:ascii="Gotham Book" w:hAnsi="Gotham Book"/>
          <w:b/>
          <w:bCs/>
          <w:color w:val="747474" w:themeColor="background2" w:themeShade="80"/>
          <w:sz w:val="32"/>
          <w:szCs w:val="28"/>
        </w:rPr>
        <w:t>)</w:t>
      </w:r>
    </w:p>
    <w:p w14:paraId="74E755B5" w14:textId="77777777" w:rsidR="00D316F1" w:rsidRPr="00DF315E" w:rsidRDefault="00D316F1" w:rsidP="00D316F1">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D316F1" w:rsidRPr="00DF315E" w14:paraId="653FCCFA" w14:textId="77777777" w:rsidTr="00754209">
        <w:tc>
          <w:tcPr>
            <w:tcW w:w="2515" w:type="dxa"/>
            <w:shd w:val="clear" w:color="auto" w:fill="E8E8E8" w:themeFill="background2"/>
          </w:tcPr>
          <w:p w14:paraId="69CFF6C4" w14:textId="77777777" w:rsidR="00D316F1" w:rsidRPr="00BC511F" w:rsidRDefault="00D316F1" w:rsidP="007542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F9264D1" w14:textId="2247AC6D" w:rsidR="00D316F1" w:rsidRPr="00763B64" w:rsidRDefault="00763B64" w:rsidP="00763B64">
            <w:pPr>
              <w:rPr>
                <w:rFonts w:ascii="Gotham Book" w:hAnsi="Gotham Book"/>
                <w:sz w:val="24"/>
                <w:szCs w:val="24"/>
              </w:rPr>
            </w:pPr>
            <w:r w:rsidRPr="00763B64">
              <w:rPr>
                <w:rFonts w:ascii="Gotham Book" w:hAnsi="Gotham Book"/>
                <w:sz w:val="24"/>
                <w:szCs w:val="24"/>
              </w:rPr>
              <w:t xml:space="preserve">In this lesson, students will complete a graphic organizer worksheet recording key information related to significant events of the Texas Revolution including the date, location, details, and significance of each event. </w:t>
            </w:r>
          </w:p>
          <w:p w14:paraId="34EBB664" w14:textId="77777777" w:rsidR="00D316F1" w:rsidRDefault="00D316F1" w:rsidP="00754209">
            <w:pPr>
              <w:spacing w:after="0" w:line="240" w:lineRule="auto"/>
              <w:rPr>
                <w:rFonts w:ascii="Gotham Book" w:hAnsi="Gotham Book"/>
                <w:sz w:val="24"/>
                <w:szCs w:val="24"/>
              </w:rPr>
            </w:pPr>
          </w:p>
          <w:p w14:paraId="46457FE7" w14:textId="77777777" w:rsidR="00D316F1" w:rsidRPr="00D316F1" w:rsidRDefault="00D316F1" w:rsidP="00D316F1">
            <w:pPr>
              <w:numPr>
                <w:ilvl w:val="0"/>
                <w:numId w:val="5"/>
              </w:numPr>
              <w:spacing w:after="0" w:line="240" w:lineRule="auto"/>
              <w:rPr>
                <w:rFonts w:ascii="Gotham Book" w:hAnsi="Gotham Book"/>
                <w:sz w:val="24"/>
                <w:szCs w:val="24"/>
              </w:rPr>
            </w:pPr>
            <w:r w:rsidRPr="00D316F1">
              <w:rPr>
                <w:rFonts w:ascii="Gotham Book" w:hAnsi="Gotham Book"/>
                <w:b/>
                <w:bCs/>
                <w:i/>
                <w:iCs/>
                <w:sz w:val="24"/>
                <w:szCs w:val="24"/>
                <w:u w:val="single"/>
              </w:rPr>
              <w:t>We will</w:t>
            </w:r>
            <w:r w:rsidRPr="00D316F1">
              <w:rPr>
                <w:rFonts w:ascii="Gotham Book" w:hAnsi="Gotham Book"/>
                <w:sz w:val="24"/>
                <w:szCs w:val="24"/>
              </w:rPr>
              <w:t xml:space="preserve"> examine the most significant information about key events from the Texas Revolution.</w:t>
            </w:r>
          </w:p>
          <w:p w14:paraId="7348A83E" w14:textId="77777777" w:rsidR="00D316F1" w:rsidRPr="00D316F1" w:rsidRDefault="00D316F1" w:rsidP="00D316F1">
            <w:pPr>
              <w:numPr>
                <w:ilvl w:val="0"/>
                <w:numId w:val="5"/>
              </w:numPr>
              <w:spacing w:after="0" w:line="240" w:lineRule="auto"/>
              <w:rPr>
                <w:rFonts w:ascii="Gotham Book" w:hAnsi="Gotham Book"/>
                <w:sz w:val="24"/>
                <w:szCs w:val="24"/>
              </w:rPr>
            </w:pPr>
            <w:r w:rsidRPr="00D316F1">
              <w:rPr>
                <w:rFonts w:ascii="Gotham Book" w:hAnsi="Gotham Book"/>
                <w:b/>
                <w:bCs/>
                <w:i/>
                <w:iCs/>
                <w:sz w:val="24"/>
                <w:szCs w:val="24"/>
                <w:u w:val="single"/>
              </w:rPr>
              <w:t>I will</w:t>
            </w:r>
            <w:r w:rsidRPr="00D316F1">
              <w:rPr>
                <w:rFonts w:ascii="Gotham Book" w:hAnsi="Gotham Book"/>
                <w:sz w:val="24"/>
                <w:szCs w:val="24"/>
              </w:rPr>
              <w:t xml:space="preserve"> take notes about the date, location, details, and significance of each event on my worksheet using a graphic organizer. </w:t>
            </w:r>
          </w:p>
          <w:p w14:paraId="6A3A9A56" w14:textId="5037E0CD" w:rsidR="00D316F1" w:rsidRPr="00DF315E" w:rsidRDefault="00D316F1" w:rsidP="00754209">
            <w:pPr>
              <w:spacing w:after="0" w:line="240" w:lineRule="auto"/>
              <w:rPr>
                <w:rFonts w:ascii="Gotham Book" w:hAnsi="Gotham Book"/>
                <w:sz w:val="24"/>
                <w:szCs w:val="24"/>
              </w:rPr>
            </w:pPr>
          </w:p>
        </w:tc>
      </w:tr>
      <w:tr w:rsidR="00D316F1" w:rsidRPr="00DF315E" w14:paraId="7F740FE9" w14:textId="77777777" w:rsidTr="00754209">
        <w:tc>
          <w:tcPr>
            <w:tcW w:w="2515" w:type="dxa"/>
            <w:shd w:val="clear" w:color="auto" w:fill="E8E8E8" w:themeFill="background2"/>
          </w:tcPr>
          <w:p w14:paraId="5BA776B3" w14:textId="77777777" w:rsidR="00D316F1" w:rsidRPr="00BC511F" w:rsidRDefault="00D316F1" w:rsidP="007542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35FC4713" w14:textId="78F02BDC" w:rsidR="00C81DD2" w:rsidRDefault="00D316F1" w:rsidP="00C81DD2">
            <w:pPr>
              <w:pStyle w:val="ListParagraph"/>
              <w:numPr>
                <w:ilvl w:val="0"/>
                <w:numId w:val="6"/>
              </w:numPr>
              <w:spacing w:after="0" w:line="240" w:lineRule="auto"/>
              <w:rPr>
                <w:rFonts w:ascii="Gotham Book" w:hAnsi="Gotham Book"/>
                <w:sz w:val="24"/>
                <w:szCs w:val="24"/>
              </w:rPr>
            </w:pPr>
            <w:r>
              <w:rPr>
                <w:rFonts w:ascii="Gotham Book" w:hAnsi="Gotham Book"/>
                <w:sz w:val="24"/>
                <w:szCs w:val="24"/>
              </w:rPr>
              <w:t>Significant events of the Texas Revolution includ</w:t>
            </w:r>
            <w:r w:rsidR="00C81DD2">
              <w:rPr>
                <w:rFonts w:ascii="Gotham Book" w:hAnsi="Gotham Book"/>
                <w:sz w:val="24"/>
                <w:szCs w:val="24"/>
              </w:rPr>
              <w:t>ed the Battle of Gonzales, the Consultation, the Siege and Battle of the Alamo, the Constitutional Convention of 1836,  the Battle of Coleto Creek and the Goliad Massacre, the Runaway Scrape, the Battle of San Jacinto, and the Treaties of Velasco.</w:t>
            </w:r>
          </w:p>
          <w:p w14:paraId="27F7D63E" w14:textId="33CB2F48" w:rsidR="00D316F1" w:rsidRDefault="00D316F1" w:rsidP="00C81DD2">
            <w:pPr>
              <w:pStyle w:val="ListParagraph"/>
              <w:numPr>
                <w:ilvl w:val="0"/>
                <w:numId w:val="6"/>
              </w:numPr>
              <w:spacing w:after="0" w:line="240" w:lineRule="auto"/>
              <w:rPr>
                <w:rFonts w:ascii="Gotham Book" w:hAnsi="Gotham Book"/>
                <w:sz w:val="24"/>
                <w:szCs w:val="24"/>
              </w:rPr>
            </w:pPr>
            <w:r w:rsidRPr="00C81DD2">
              <w:rPr>
                <w:rFonts w:ascii="Gotham Book" w:hAnsi="Gotham Book"/>
                <w:sz w:val="24"/>
                <w:szCs w:val="24"/>
              </w:rPr>
              <w:t xml:space="preserve">People who played </w:t>
            </w:r>
            <w:r w:rsidR="00C81DD2">
              <w:rPr>
                <w:rFonts w:ascii="Gotham Book" w:hAnsi="Gotham Book"/>
                <w:sz w:val="24"/>
                <w:szCs w:val="24"/>
              </w:rPr>
              <w:t>significant roles in the Texas Revolution included Sam Houston, Santa Anna, William B. Travis, James Bowie, James Fannin, Juan Segu</w:t>
            </w:r>
            <w:r w:rsidR="00883150" w:rsidRPr="00883150">
              <w:rPr>
                <w:rFonts w:ascii="Gotham Book" w:hAnsi="Gotham Book"/>
                <w:sz w:val="24"/>
                <w:szCs w:val="24"/>
              </w:rPr>
              <w:t>í</w:t>
            </w:r>
            <w:r w:rsidR="00C81DD2">
              <w:rPr>
                <w:rFonts w:ascii="Gotham Book" w:hAnsi="Gotham Book"/>
                <w:sz w:val="24"/>
                <w:szCs w:val="24"/>
              </w:rPr>
              <w:t>n, and George Childress.</w:t>
            </w:r>
          </w:p>
          <w:p w14:paraId="6BB5C229" w14:textId="77777777" w:rsidR="00C81DD2" w:rsidRDefault="00C81DD2" w:rsidP="00C81DD2">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Initially Texans didn’t agree on if they should fight a war, and whether they would be fighting for independence or to support the Federal Constitution of 1824. </w:t>
            </w:r>
          </w:p>
          <w:p w14:paraId="2642FAE0" w14:textId="77777777" w:rsidR="00C81DD2" w:rsidRDefault="00C81DD2" w:rsidP="00C81DD2">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Following the Alamo and Goliad, Texan civilians fled east </w:t>
            </w:r>
            <w:r w:rsidR="00E15079">
              <w:rPr>
                <w:rFonts w:ascii="Gotham Book" w:hAnsi="Gotham Book"/>
                <w:sz w:val="24"/>
                <w:szCs w:val="24"/>
              </w:rPr>
              <w:t xml:space="preserve">on the Runaway Scrape </w:t>
            </w:r>
            <w:r>
              <w:rPr>
                <w:rFonts w:ascii="Gotham Book" w:hAnsi="Gotham Book"/>
                <w:sz w:val="24"/>
                <w:szCs w:val="24"/>
              </w:rPr>
              <w:t xml:space="preserve">and Houston’s army retreated east waiting for an opportunity to </w:t>
            </w:r>
            <w:r w:rsidR="00E15079">
              <w:rPr>
                <w:rFonts w:ascii="Gotham Book" w:hAnsi="Gotham Book"/>
                <w:sz w:val="24"/>
                <w:szCs w:val="24"/>
              </w:rPr>
              <w:t xml:space="preserve">confront Santa Anna on more favorable terms, which finally came at San Jacinto. </w:t>
            </w:r>
          </w:p>
          <w:p w14:paraId="42818FBD" w14:textId="0B06821D" w:rsidR="00E15079" w:rsidRPr="00C81DD2" w:rsidRDefault="00E15079" w:rsidP="00C81DD2">
            <w:pPr>
              <w:pStyle w:val="ListParagraph"/>
              <w:numPr>
                <w:ilvl w:val="0"/>
                <w:numId w:val="6"/>
              </w:numPr>
              <w:spacing w:after="0" w:line="240" w:lineRule="auto"/>
              <w:rPr>
                <w:rFonts w:ascii="Gotham Book" w:hAnsi="Gotham Book"/>
                <w:sz w:val="24"/>
                <w:szCs w:val="24"/>
              </w:rPr>
            </w:pPr>
            <w:r>
              <w:rPr>
                <w:rFonts w:ascii="Gotham Book" w:hAnsi="Gotham Book"/>
                <w:sz w:val="24"/>
                <w:szCs w:val="24"/>
              </w:rPr>
              <w:t>Though San Jacinto ended the war, Mexico did not recognize Texas independence until after the U.S.-Mexican War of 1846 – 1848.</w:t>
            </w:r>
          </w:p>
        </w:tc>
      </w:tr>
      <w:tr w:rsidR="00D316F1" w:rsidRPr="00DF315E" w14:paraId="54926EAA" w14:textId="77777777" w:rsidTr="00754209">
        <w:tc>
          <w:tcPr>
            <w:tcW w:w="2515" w:type="dxa"/>
            <w:shd w:val="clear" w:color="auto" w:fill="E8E8E8" w:themeFill="background2"/>
          </w:tcPr>
          <w:p w14:paraId="22935E13" w14:textId="77777777" w:rsidR="00D316F1" w:rsidRPr="00BC511F" w:rsidRDefault="00D316F1" w:rsidP="007542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268A34AF" w14:textId="77777777" w:rsidR="00D316F1" w:rsidRDefault="00E15079" w:rsidP="00E15079">
            <w:pPr>
              <w:pStyle w:val="ListParagraph"/>
              <w:numPr>
                <w:ilvl w:val="0"/>
                <w:numId w:val="9"/>
              </w:numPr>
              <w:spacing w:after="0" w:line="240" w:lineRule="auto"/>
              <w:rPr>
                <w:rFonts w:ascii="Gotham Book" w:hAnsi="Gotham Book"/>
                <w:sz w:val="24"/>
                <w:szCs w:val="24"/>
              </w:rPr>
            </w:pPr>
            <w:r>
              <w:rPr>
                <w:rFonts w:ascii="Gotham Book" w:hAnsi="Gotham Book"/>
                <w:sz w:val="24"/>
                <w:szCs w:val="24"/>
              </w:rPr>
              <w:t>Summarizing and paraphrasing (teachers can encourage students to do this for longer note passages)</w:t>
            </w:r>
          </w:p>
          <w:p w14:paraId="3EA1FEC4" w14:textId="77777777" w:rsidR="00E15079" w:rsidRDefault="00E15079" w:rsidP="00E15079">
            <w:pPr>
              <w:pStyle w:val="ListParagraph"/>
              <w:numPr>
                <w:ilvl w:val="0"/>
                <w:numId w:val="9"/>
              </w:numPr>
              <w:spacing w:after="0" w:line="240" w:lineRule="auto"/>
              <w:rPr>
                <w:rFonts w:ascii="Gotham Book" w:hAnsi="Gotham Book"/>
                <w:sz w:val="24"/>
                <w:szCs w:val="24"/>
              </w:rPr>
            </w:pPr>
            <w:r>
              <w:rPr>
                <w:rFonts w:ascii="Gotham Book" w:hAnsi="Gotham Book"/>
                <w:sz w:val="24"/>
                <w:szCs w:val="24"/>
              </w:rPr>
              <w:t>Note-taking</w:t>
            </w:r>
          </w:p>
          <w:p w14:paraId="348C7EB9" w14:textId="77777777" w:rsidR="00E15079" w:rsidRDefault="00E15079" w:rsidP="00E15079">
            <w:pPr>
              <w:pStyle w:val="ListParagraph"/>
              <w:numPr>
                <w:ilvl w:val="0"/>
                <w:numId w:val="9"/>
              </w:numPr>
              <w:spacing w:after="0" w:line="240" w:lineRule="auto"/>
              <w:rPr>
                <w:rFonts w:ascii="Gotham Book" w:hAnsi="Gotham Book"/>
                <w:sz w:val="24"/>
                <w:szCs w:val="24"/>
              </w:rPr>
            </w:pPr>
            <w:r>
              <w:rPr>
                <w:rFonts w:ascii="Gotham Book" w:hAnsi="Gotham Book"/>
                <w:sz w:val="24"/>
                <w:szCs w:val="24"/>
              </w:rPr>
              <w:t>Demonstrating cause and effect</w:t>
            </w:r>
          </w:p>
          <w:p w14:paraId="0A8CBF45" w14:textId="4ECDC946" w:rsidR="00E15079" w:rsidRPr="00E15079" w:rsidRDefault="00E15079" w:rsidP="00E15079">
            <w:pPr>
              <w:pStyle w:val="ListParagraph"/>
              <w:numPr>
                <w:ilvl w:val="0"/>
                <w:numId w:val="9"/>
              </w:numPr>
              <w:spacing w:after="0" w:line="240" w:lineRule="auto"/>
              <w:rPr>
                <w:rFonts w:ascii="Gotham Book" w:hAnsi="Gotham Book"/>
                <w:sz w:val="24"/>
                <w:szCs w:val="24"/>
              </w:rPr>
            </w:pPr>
            <w:r>
              <w:rPr>
                <w:rFonts w:ascii="Gotham Book" w:hAnsi="Gotham Book"/>
                <w:sz w:val="24"/>
                <w:szCs w:val="24"/>
              </w:rPr>
              <w:t>Identifying and explaining the significance of a historical event</w:t>
            </w:r>
          </w:p>
        </w:tc>
      </w:tr>
      <w:tr w:rsidR="00D316F1" w:rsidRPr="00DF315E" w14:paraId="61A7AA5B" w14:textId="77777777" w:rsidTr="00754209">
        <w:tc>
          <w:tcPr>
            <w:tcW w:w="2515" w:type="dxa"/>
            <w:shd w:val="clear" w:color="auto" w:fill="E8E8E8" w:themeFill="background2"/>
          </w:tcPr>
          <w:p w14:paraId="10AC5D3B" w14:textId="77777777" w:rsidR="00D316F1" w:rsidRPr="00BC511F" w:rsidRDefault="00D316F1" w:rsidP="007542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3F81625F" w14:textId="05F0F1A0" w:rsidR="00D316F1" w:rsidRPr="00DF315E" w:rsidRDefault="00E15079" w:rsidP="00754209">
            <w:pPr>
              <w:rPr>
                <w:rFonts w:ascii="Gotham Book" w:hAnsi="Gotham Book"/>
                <w:sz w:val="24"/>
                <w:szCs w:val="24"/>
              </w:rPr>
            </w:pPr>
            <w:bookmarkStart w:id="1" w:name="_Hlk192853200"/>
            <w:r w:rsidRPr="00E15079">
              <w:rPr>
                <w:rFonts w:ascii="Gotham Book" w:hAnsi="Gotham Book"/>
                <w:sz w:val="24"/>
                <w:szCs w:val="24"/>
              </w:rPr>
              <w:t>What is the most significant information about the key events of the Texas Revolution?</w:t>
            </w:r>
            <w:bookmarkEnd w:id="1"/>
          </w:p>
        </w:tc>
      </w:tr>
      <w:tr w:rsidR="00D316F1" w:rsidRPr="00DF315E" w14:paraId="14B2272C" w14:textId="77777777" w:rsidTr="00754209">
        <w:trPr>
          <w:trHeight w:val="305"/>
        </w:trPr>
        <w:tc>
          <w:tcPr>
            <w:tcW w:w="2515" w:type="dxa"/>
            <w:shd w:val="clear" w:color="auto" w:fill="E8E8E8" w:themeFill="background2"/>
          </w:tcPr>
          <w:p w14:paraId="783F48B6" w14:textId="77777777" w:rsidR="00D316F1" w:rsidRPr="00BC511F" w:rsidRDefault="00D316F1" w:rsidP="007542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4275EC2E" w14:textId="347C64D3" w:rsidR="00E15079" w:rsidRDefault="00E15079" w:rsidP="00754209">
            <w:pPr>
              <w:spacing w:after="0" w:line="240" w:lineRule="auto"/>
              <w:rPr>
                <w:rFonts w:ascii="Gotham Book" w:hAnsi="Gotham Book"/>
                <w:sz w:val="24"/>
                <w:szCs w:val="24"/>
              </w:rPr>
            </w:pPr>
            <w:r>
              <w:rPr>
                <w:rFonts w:ascii="Gotham Book" w:hAnsi="Gotham Book"/>
                <w:sz w:val="24"/>
                <w:szCs w:val="24"/>
              </w:rPr>
              <w:t xml:space="preserve">This lesson is designed to take approximately 3 class periods. The worksheet and slideshow </w:t>
            </w:r>
            <w:r w:rsidR="00883150">
              <w:rPr>
                <w:rFonts w:ascii="Gotham Book" w:hAnsi="Gotham Book"/>
                <w:sz w:val="24"/>
                <w:szCs w:val="24"/>
              </w:rPr>
              <w:t>take</w:t>
            </w:r>
            <w:r>
              <w:rPr>
                <w:rFonts w:ascii="Gotham Book" w:hAnsi="Gotham Book"/>
                <w:sz w:val="24"/>
                <w:szCs w:val="24"/>
              </w:rPr>
              <w:t xml:space="preserve"> the class through the entire lesson from start to finish. The warm-up provides general activities that can be repeated each day of the assignment</w:t>
            </w:r>
            <w:r w:rsidR="00FC46E8">
              <w:rPr>
                <w:rFonts w:ascii="Gotham Book" w:hAnsi="Gotham Book"/>
                <w:sz w:val="24"/>
                <w:szCs w:val="24"/>
              </w:rPr>
              <w:t xml:space="preserve">. </w:t>
            </w:r>
          </w:p>
          <w:p w14:paraId="31B8E05F" w14:textId="77777777" w:rsidR="00E15079" w:rsidRDefault="00E15079" w:rsidP="00754209">
            <w:pPr>
              <w:spacing w:after="0" w:line="240" w:lineRule="auto"/>
              <w:rPr>
                <w:rFonts w:ascii="Gotham Book" w:hAnsi="Gotham Book"/>
                <w:b/>
                <w:bCs/>
                <w:sz w:val="24"/>
                <w:szCs w:val="24"/>
              </w:rPr>
            </w:pPr>
          </w:p>
          <w:p w14:paraId="2ED55E49" w14:textId="40F27D2C" w:rsidR="00D316F1" w:rsidRDefault="00D316F1" w:rsidP="00754209">
            <w:pPr>
              <w:spacing w:after="0" w:line="240" w:lineRule="auto"/>
              <w:rPr>
                <w:rFonts w:ascii="Gotham Book" w:hAnsi="Gotham Book"/>
                <w:b/>
                <w:bCs/>
                <w:sz w:val="24"/>
                <w:szCs w:val="24"/>
              </w:rPr>
            </w:pPr>
            <w:r w:rsidRPr="00757D5D">
              <w:rPr>
                <w:rFonts w:ascii="Gotham Book" w:hAnsi="Gotham Book"/>
                <w:b/>
                <w:bCs/>
                <w:sz w:val="24"/>
                <w:szCs w:val="24"/>
              </w:rPr>
              <w:t>Warm-up</w:t>
            </w:r>
          </w:p>
          <w:p w14:paraId="4A8EED36" w14:textId="77777777" w:rsidR="00D316F1" w:rsidRDefault="00D316F1" w:rsidP="00754209">
            <w:pPr>
              <w:spacing w:after="0" w:line="240" w:lineRule="auto"/>
              <w:rPr>
                <w:rFonts w:ascii="Gotham Book" w:hAnsi="Gotham Book"/>
                <w:b/>
                <w:bCs/>
                <w:sz w:val="24"/>
                <w:szCs w:val="24"/>
              </w:rPr>
            </w:pPr>
          </w:p>
          <w:p w14:paraId="682F1086" w14:textId="456ECA46" w:rsidR="00D316F1" w:rsidRPr="00FC46E8" w:rsidRDefault="00FC46E8" w:rsidP="00FC46E8">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Students choose one event we have learned about so far, and provide one cause and one effect or result of their chosen event.</w:t>
            </w:r>
          </w:p>
          <w:p w14:paraId="7099D1B3" w14:textId="77777777" w:rsidR="00D316F1" w:rsidRDefault="00D316F1" w:rsidP="00754209">
            <w:pPr>
              <w:spacing w:after="0" w:line="240" w:lineRule="auto"/>
              <w:rPr>
                <w:rFonts w:ascii="Gotham Book" w:hAnsi="Gotham Book"/>
                <w:b/>
                <w:bCs/>
                <w:sz w:val="24"/>
                <w:szCs w:val="24"/>
              </w:rPr>
            </w:pPr>
          </w:p>
          <w:p w14:paraId="580EA4E1" w14:textId="77777777" w:rsidR="00D316F1" w:rsidRDefault="00D316F1" w:rsidP="00754209">
            <w:pPr>
              <w:spacing w:after="0" w:line="240" w:lineRule="auto"/>
              <w:rPr>
                <w:rFonts w:ascii="Gotham Book" w:hAnsi="Gotham Book"/>
                <w:b/>
                <w:bCs/>
                <w:sz w:val="24"/>
                <w:szCs w:val="24"/>
              </w:rPr>
            </w:pPr>
            <w:r>
              <w:rPr>
                <w:rFonts w:ascii="Gotham Book" w:hAnsi="Gotham Book"/>
                <w:b/>
                <w:bCs/>
                <w:sz w:val="24"/>
                <w:szCs w:val="24"/>
              </w:rPr>
              <w:t xml:space="preserve">Lesson </w:t>
            </w:r>
          </w:p>
          <w:p w14:paraId="44D83876" w14:textId="77777777" w:rsidR="00D316F1" w:rsidRDefault="00D316F1" w:rsidP="00754209">
            <w:pPr>
              <w:spacing w:after="0" w:line="240" w:lineRule="auto"/>
              <w:rPr>
                <w:rFonts w:ascii="Gotham Book" w:hAnsi="Gotham Book"/>
                <w:sz w:val="24"/>
                <w:szCs w:val="24"/>
              </w:rPr>
            </w:pPr>
          </w:p>
          <w:p w14:paraId="35FACFD9" w14:textId="4CA6DE97" w:rsidR="00D316F1" w:rsidRDefault="00FC46E8" w:rsidP="00FC46E8">
            <w:pPr>
              <w:pStyle w:val="ListParagraph"/>
              <w:numPr>
                <w:ilvl w:val="0"/>
                <w:numId w:val="10"/>
              </w:numPr>
              <w:spacing w:after="0" w:line="240" w:lineRule="auto"/>
              <w:rPr>
                <w:rFonts w:ascii="Gotham Book" w:hAnsi="Gotham Book"/>
                <w:sz w:val="24"/>
                <w:szCs w:val="24"/>
              </w:rPr>
            </w:pPr>
            <w:r>
              <w:rPr>
                <w:rFonts w:ascii="Gotham Book" w:hAnsi="Gotham Book"/>
                <w:sz w:val="24"/>
                <w:szCs w:val="24"/>
              </w:rPr>
              <w:t>The slideshow presentation provides notes for the key events of the Texas Revolution. Students will take notes on each event using a worksheet that provides graphic organizers for each portion of notetaking.</w:t>
            </w:r>
          </w:p>
          <w:p w14:paraId="10F81BF9" w14:textId="2EA294D4" w:rsidR="00FC46E8" w:rsidRPr="00FC46E8" w:rsidRDefault="00FC46E8" w:rsidP="00FC46E8">
            <w:pPr>
              <w:pStyle w:val="ListParagraph"/>
              <w:numPr>
                <w:ilvl w:val="0"/>
                <w:numId w:val="10"/>
              </w:numPr>
              <w:spacing w:after="0" w:line="240" w:lineRule="auto"/>
              <w:rPr>
                <w:rFonts w:ascii="Gotham Book" w:hAnsi="Gotham Book"/>
                <w:sz w:val="24"/>
                <w:szCs w:val="24"/>
              </w:rPr>
            </w:pPr>
            <w:r>
              <w:rPr>
                <w:rFonts w:ascii="Gotham Book" w:hAnsi="Gotham Book"/>
                <w:sz w:val="24"/>
                <w:szCs w:val="24"/>
              </w:rPr>
              <w:t>Advanced work includes a cause-and-effect activity based on information from the lesson.</w:t>
            </w:r>
          </w:p>
          <w:p w14:paraId="72048E85" w14:textId="77777777" w:rsidR="00D316F1" w:rsidRDefault="00D316F1" w:rsidP="00754209">
            <w:pPr>
              <w:spacing w:after="0" w:line="240" w:lineRule="auto"/>
              <w:rPr>
                <w:rFonts w:ascii="Gotham Book" w:hAnsi="Gotham Book"/>
                <w:sz w:val="24"/>
                <w:szCs w:val="24"/>
              </w:rPr>
            </w:pPr>
          </w:p>
          <w:p w14:paraId="33DC8A97" w14:textId="77777777" w:rsidR="00D316F1" w:rsidRDefault="00D316F1" w:rsidP="00754209">
            <w:pPr>
              <w:spacing w:after="0" w:line="240" w:lineRule="auto"/>
              <w:rPr>
                <w:rFonts w:ascii="Gotham Book" w:hAnsi="Gotham Book"/>
                <w:b/>
                <w:bCs/>
                <w:sz w:val="24"/>
                <w:szCs w:val="24"/>
              </w:rPr>
            </w:pPr>
            <w:r>
              <w:rPr>
                <w:rFonts w:ascii="Gotham Book" w:hAnsi="Gotham Book"/>
                <w:b/>
                <w:bCs/>
                <w:sz w:val="24"/>
                <w:szCs w:val="24"/>
              </w:rPr>
              <w:t>Exit Ticket</w:t>
            </w:r>
          </w:p>
          <w:p w14:paraId="2EBD8984" w14:textId="77777777" w:rsidR="00D316F1" w:rsidRDefault="00D316F1" w:rsidP="00754209">
            <w:pPr>
              <w:spacing w:after="0" w:line="240" w:lineRule="auto"/>
              <w:rPr>
                <w:rFonts w:ascii="Gotham Book" w:hAnsi="Gotham Book"/>
                <w:b/>
                <w:bCs/>
                <w:sz w:val="24"/>
                <w:szCs w:val="24"/>
              </w:rPr>
            </w:pPr>
          </w:p>
          <w:p w14:paraId="711E01B9" w14:textId="77777777" w:rsidR="00FC46E8" w:rsidRPr="00FC46E8" w:rsidRDefault="00FC46E8" w:rsidP="00FC46E8">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will create a True/False statement based on information from the lesson and explain why their statement is true or false. </w:t>
            </w:r>
          </w:p>
          <w:p w14:paraId="2987EB54" w14:textId="77777777" w:rsidR="00D316F1" w:rsidRDefault="00D316F1" w:rsidP="00754209">
            <w:pPr>
              <w:spacing w:after="0" w:line="240" w:lineRule="auto"/>
              <w:rPr>
                <w:rFonts w:ascii="Gotham Book" w:hAnsi="Gotham Book"/>
                <w:b/>
                <w:bCs/>
                <w:sz w:val="24"/>
                <w:szCs w:val="24"/>
              </w:rPr>
            </w:pPr>
          </w:p>
          <w:p w14:paraId="21C81AA0" w14:textId="77777777" w:rsidR="00FC46E8" w:rsidRPr="005B6191" w:rsidRDefault="00FC46E8" w:rsidP="00754209">
            <w:pPr>
              <w:spacing w:after="0" w:line="240" w:lineRule="auto"/>
              <w:rPr>
                <w:rFonts w:ascii="Gotham Book" w:hAnsi="Gotham Book"/>
                <w:b/>
                <w:bCs/>
                <w:sz w:val="24"/>
                <w:szCs w:val="24"/>
              </w:rPr>
            </w:pPr>
          </w:p>
        </w:tc>
      </w:tr>
      <w:tr w:rsidR="00D316F1" w:rsidRPr="00DF315E" w14:paraId="4850B431" w14:textId="77777777" w:rsidTr="00754209">
        <w:tc>
          <w:tcPr>
            <w:tcW w:w="2515" w:type="dxa"/>
            <w:shd w:val="clear" w:color="auto" w:fill="E8E8E8" w:themeFill="background2"/>
          </w:tcPr>
          <w:p w14:paraId="11957B8F" w14:textId="77777777" w:rsidR="00D316F1" w:rsidRPr="00BC511F" w:rsidRDefault="00D316F1" w:rsidP="007542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2EB1D5BF" w14:textId="77777777" w:rsidR="00D316F1" w:rsidRPr="00DF315E" w:rsidRDefault="00D316F1" w:rsidP="00754209">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7761CE16" w14:textId="77777777" w:rsidR="00D316F1" w:rsidRPr="00DF315E" w:rsidRDefault="00D316F1" w:rsidP="00D316F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E2C09B1" w14:textId="77777777" w:rsidR="00D316F1" w:rsidRPr="00DF315E" w:rsidRDefault="00D316F1" w:rsidP="00D316F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7A7CB41F" w14:textId="77777777" w:rsidR="00D316F1" w:rsidRPr="00DF315E" w:rsidRDefault="00D316F1" w:rsidP="00D316F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1D170DF6" w14:textId="77777777" w:rsidR="00D316F1" w:rsidRPr="00DF315E" w:rsidRDefault="00D316F1" w:rsidP="00D316F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187F6438" w14:textId="77777777" w:rsidR="00D316F1" w:rsidRPr="00DF315E" w:rsidRDefault="00D316F1" w:rsidP="00D316F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6A34879E" w14:textId="77777777" w:rsidR="00D316F1" w:rsidRPr="00DF315E" w:rsidRDefault="00D316F1" w:rsidP="00D316F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C4398FA" w14:textId="77777777" w:rsidR="00D316F1" w:rsidRPr="00DF315E" w:rsidRDefault="00D316F1" w:rsidP="00754209">
            <w:pPr>
              <w:rPr>
                <w:rFonts w:ascii="Gotham Book" w:hAnsi="Gotham Book"/>
                <w:sz w:val="24"/>
                <w:szCs w:val="24"/>
              </w:rPr>
            </w:pPr>
          </w:p>
        </w:tc>
      </w:tr>
      <w:tr w:rsidR="00D316F1" w:rsidRPr="00DF315E" w14:paraId="2095D740" w14:textId="77777777" w:rsidTr="00754209">
        <w:tc>
          <w:tcPr>
            <w:tcW w:w="2515" w:type="dxa"/>
            <w:shd w:val="clear" w:color="auto" w:fill="E8E8E8" w:themeFill="background2"/>
          </w:tcPr>
          <w:p w14:paraId="5B1DA1ED" w14:textId="77777777" w:rsidR="00D316F1" w:rsidRPr="00BC511F" w:rsidRDefault="00D316F1" w:rsidP="007542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1AD9F10B" w14:textId="77777777" w:rsidR="00D316F1" w:rsidRPr="00DF315E" w:rsidRDefault="00D316F1" w:rsidP="00D316F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600F4B6" w14:textId="5E5BC3BD" w:rsidR="00D316F1" w:rsidRPr="00DF315E" w:rsidRDefault="00D316F1" w:rsidP="00D316F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5DB8A90E" w14:textId="77777777" w:rsidR="00D316F1" w:rsidRPr="00DF315E" w:rsidRDefault="00D316F1" w:rsidP="00D316F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Chunking text information</w:t>
            </w:r>
          </w:p>
          <w:p w14:paraId="103A6E1B" w14:textId="77777777" w:rsidR="00D316F1" w:rsidRPr="00DF315E" w:rsidRDefault="00D316F1" w:rsidP="00D316F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2C9ECA7E" w14:textId="423C9214" w:rsidR="00D316F1" w:rsidRPr="00DF315E" w:rsidRDefault="00D316F1" w:rsidP="00D316F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w:t>
            </w:r>
            <w:r w:rsidR="00FC46E8">
              <w:rPr>
                <w:rFonts w:ascii="Gotham Book" w:hAnsi="Gotham Book"/>
                <w:sz w:val="24"/>
                <w:szCs w:val="24"/>
              </w:rPr>
              <w:t>n writing, fill-in-the-blank notes, and options provided for information to be recorded</w:t>
            </w:r>
          </w:p>
          <w:p w14:paraId="62CAFE97" w14:textId="77777777" w:rsidR="00D316F1" w:rsidRPr="00DF315E" w:rsidRDefault="00D316F1" w:rsidP="00754209">
            <w:pPr>
              <w:rPr>
                <w:rFonts w:ascii="Gotham Book" w:hAnsi="Gotham Book"/>
                <w:sz w:val="24"/>
                <w:szCs w:val="24"/>
              </w:rPr>
            </w:pPr>
          </w:p>
        </w:tc>
      </w:tr>
      <w:tr w:rsidR="00D316F1" w:rsidRPr="00DF315E" w14:paraId="32E37F20" w14:textId="77777777" w:rsidTr="00754209">
        <w:tc>
          <w:tcPr>
            <w:tcW w:w="2515" w:type="dxa"/>
            <w:shd w:val="clear" w:color="auto" w:fill="E8E8E8" w:themeFill="background2"/>
          </w:tcPr>
          <w:p w14:paraId="2F6F7769" w14:textId="77777777" w:rsidR="00D316F1" w:rsidRPr="00BC511F" w:rsidRDefault="00D316F1" w:rsidP="0075420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6244C3B8" w14:textId="77777777" w:rsidR="00D316F1" w:rsidRPr="00DF315E" w:rsidRDefault="00D316F1" w:rsidP="00754209">
            <w:pPr>
              <w:rPr>
                <w:rFonts w:ascii="Gotham Book" w:hAnsi="Gotham Book"/>
                <w:b/>
                <w:bCs/>
                <w:i/>
                <w:iCs/>
                <w:color w:val="404040" w:themeColor="text1" w:themeTint="BF"/>
                <w:sz w:val="28"/>
                <w:szCs w:val="32"/>
              </w:rPr>
            </w:pPr>
          </w:p>
          <w:p w14:paraId="03155C1D" w14:textId="77777777" w:rsidR="00D316F1" w:rsidRPr="00DF315E" w:rsidRDefault="00D316F1" w:rsidP="00754209">
            <w:pPr>
              <w:rPr>
                <w:rFonts w:ascii="Gotham Book" w:hAnsi="Gotham Book"/>
                <w:b/>
                <w:bCs/>
                <w:i/>
                <w:iCs/>
                <w:color w:val="404040" w:themeColor="text1" w:themeTint="BF"/>
                <w:sz w:val="28"/>
                <w:szCs w:val="32"/>
              </w:rPr>
            </w:pPr>
          </w:p>
        </w:tc>
        <w:tc>
          <w:tcPr>
            <w:tcW w:w="8275" w:type="dxa"/>
          </w:tcPr>
          <w:p w14:paraId="739A7ADF" w14:textId="6C897979" w:rsidR="00FC46E8" w:rsidRDefault="00FC46E8" w:rsidP="00D316F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1836, Texas Independence.</w:t>
            </w:r>
          </w:p>
          <w:p w14:paraId="0CB70B11" w14:textId="2333D137" w:rsidR="00FC46E8" w:rsidRDefault="00FC46E8" w:rsidP="00D316F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7.03(B) </w:t>
            </w:r>
            <w:r>
              <w:rPr>
                <w:rFonts w:ascii="Gotham Book" w:hAnsi="Gotham Book"/>
                <w:sz w:val="24"/>
                <w:szCs w:val="24"/>
              </w:rPr>
              <w:t>Explain the roles played by significant individuals during the Texas Revolution, including George Childress, Lorenzo de Zavala, James Fannin, Sam Houston, Antonio Lopez de Santa Anna, Juan Seguin, and William B. Travis.</w:t>
            </w:r>
          </w:p>
          <w:p w14:paraId="4FF2F5B5" w14:textId="3F0E3955" w:rsidR="009C40FF" w:rsidRPr="009C40FF" w:rsidRDefault="00FC46E8" w:rsidP="009C40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7.03(C) </w:t>
            </w:r>
            <w:r>
              <w:rPr>
                <w:rFonts w:ascii="Gotham Book" w:hAnsi="Gotham Book"/>
                <w:sz w:val="24"/>
                <w:szCs w:val="24"/>
              </w:rPr>
              <w:t xml:space="preserve">Explain the issues surrounding significant events of the Texas Revolution, including the Battle of Gonzales, the siege of the Alamo, William B. Travis’ letter “To the People of Texas and All Americans in the World,” and the heroism of the diverse defenders who gave their lives there, the Constitutional Convention of 1836, Fannin’s surrender at Goliad, and the Battle of San Jacinto. </w:t>
            </w:r>
          </w:p>
          <w:p w14:paraId="657B7815" w14:textId="28BCF1F1" w:rsidR="00D316F1" w:rsidRPr="00DF315E" w:rsidRDefault="00D316F1" w:rsidP="00D316F1">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4CBABCA2" w14:textId="77777777" w:rsidR="00D316F1" w:rsidRPr="00DF315E" w:rsidRDefault="00D316F1" w:rsidP="00754209">
            <w:pPr>
              <w:pStyle w:val="ListParagraph"/>
              <w:spacing w:after="0" w:line="240" w:lineRule="auto"/>
              <w:rPr>
                <w:rFonts w:ascii="Gotham Book" w:hAnsi="Gotham Book"/>
                <w:sz w:val="24"/>
                <w:szCs w:val="24"/>
              </w:rPr>
            </w:pPr>
          </w:p>
        </w:tc>
      </w:tr>
    </w:tbl>
    <w:p w14:paraId="5C90B428" w14:textId="77777777" w:rsidR="00D316F1" w:rsidRPr="00DF315E" w:rsidRDefault="00D316F1" w:rsidP="00D316F1">
      <w:pPr>
        <w:rPr>
          <w:rFonts w:ascii="Gotham Book" w:hAnsi="Gotham Book"/>
          <w:sz w:val="22"/>
          <w:szCs w:val="22"/>
        </w:rPr>
      </w:pPr>
    </w:p>
    <w:p w14:paraId="365C51F3" w14:textId="77777777" w:rsidR="00D316F1" w:rsidRDefault="00D316F1" w:rsidP="00D316F1">
      <w:pPr>
        <w:spacing w:after="0" w:line="240" w:lineRule="auto"/>
        <w:jc w:val="center"/>
        <w:rPr>
          <w:rFonts w:ascii="Gotham Book" w:hAnsi="Gotham Book"/>
          <w:b/>
          <w:bCs/>
          <w:color w:val="747474" w:themeColor="background2" w:themeShade="80"/>
          <w:sz w:val="34"/>
          <w:szCs w:val="32"/>
        </w:rPr>
      </w:pPr>
    </w:p>
    <w:p w14:paraId="499EF469" w14:textId="77777777" w:rsidR="001F4B69" w:rsidRDefault="001F4B69" w:rsidP="00D316F1">
      <w:pPr>
        <w:spacing w:after="0" w:line="240" w:lineRule="auto"/>
        <w:jc w:val="center"/>
        <w:rPr>
          <w:rFonts w:ascii="Gotham Book" w:hAnsi="Gotham Book"/>
          <w:b/>
          <w:bCs/>
          <w:color w:val="747474" w:themeColor="background2" w:themeShade="80"/>
          <w:sz w:val="34"/>
          <w:szCs w:val="32"/>
        </w:rPr>
      </w:pPr>
    </w:p>
    <w:p w14:paraId="688CF43B" w14:textId="77777777" w:rsidR="001F4B69" w:rsidRDefault="001F4B69" w:rsidP="00D316F1">
      <w:pPr>
        <w:spacing w:after="0" w:line="240" w:lineRule="auto"/>
        <w:jc w:val="center"/>
        <w:rPr>
          <w:rFonts w:ascii="Gotham Book" w:hAnsi="Gotham Book"/>
          <w:b/>
          <w:bCs/>
          <w:color w:val="747474" w:themeColor="background2" w:themeShade="80"/>
          <w:sz w:val="34"/>
          <w:szCs w:val="32"/>
        </w:rPr>
      </w:pPr>
    </w:p>
    <w:p w14:paraId="613B7FFE" w14:textId="77777777" w:rsidR="001F4B69" w:rsidRDefault="001F4B69" w:rsidP="00D316F1">
      <w:pPr>
        <w:spacing w:after="0" w:line="240" w:lineRule="auto"/>
        <w:jc w:val="center"/>
        <w:rPr>
          <w:rFonts w:ascii="Gotham Book" w:hAnsi="Gotham Book"/>
          <w:b/>
          <w:bCs/>
          <w:color w:val="747474" w:themeColor="background2" w:themeShade="80"/>
          <w:sz w:val="34"/>
          <w:szCs w:val="32"/>
        </w:rPr>
      </w:pPr>
    </w:p>
    <w:p w14:paraId="10EE3867" w14:textId="77777777" w:rsidR="001F4B69" w:rsidRDefault="001F4B69" w:rsidP="00D316F1">
      <w:pPr>
        <w:spacing w:after="0" w:line="240" w:lineRule="auto"/>
        <w:jc w:val="center"/>
        <w:rPr>
          <w:rFonts w:ascii="Gotham Book" w:hAnsi="Gotham Book"/>
          <w:b/>
          <w:bCs/>
          <w:color w:val="747474" w:themeColor="background2" w:themeShade="80"/>
          <w:sz w:val="34"/>
          <w:szCs w:val="32"/>
        </w:rPr>
      </w:pPr>
    </w:p>
    <w:p w14:paraId="15428471" w14:textId="77777777" w:rsidR="001F4B69" w:rsidRDefault="001F4B69" w:rsidP="00D316F1">
      <w:pPr>
        <w:spacing w:after="0" w:line="240" w:lineRule="auto"/>
        <w:jc w:val="center"/>
        <w:rPr>
          <w:rFonts w:ascii="Gotham Book" w:hAnsi="Gotham Book"/>
          <w:b/>
          <w:bCs/>
          <w:color w:val="747474" w:themeColor="background2" w:themeShade="80"/>
          <w:sz w:val="34"/>
          <w:szCs w:val="32"/>
        </w:rPr>
      </w:pPr>
    </w:p>
    <w:p w14:paraId="39D283C0" w14:textId="77777777" w:rsidR="00883150" w:rsidRDefault="00883150" w:rsidP="00D316F1">
      <w:pPr>
        <w:spacing w:after="0" w:line="240" w:lineRule="auto"/>
        <w:jc w:val="center"/>
        <w:rPr>
          <w:rFonts w:ascii="Gotham Book" w:hAnsi="Gotham Book"/>
          <w:b/>
          <w:bCs/>
          <w:color w:val="747474" w:themeColor="background2" w:themeShade="80"/>
          <w:sz w:val="34"/>
          <w:szCs w:val="32"/>
        </w:rPr>
      </w:pPr>
    </w:p>
    <w:p w14:paraId="34047A3A" w14:textId="77777777" w:rsidR="00883150" w:rsidRDefault="00883150" w:rsidP="00D316F1">
      <w:pPr>
        <w:spacing w:after="0" w:line="240" w:lineRule="auto"/>
        <w:jc w:val="center"/>
        <w:rPr>
          <w:rFonts w:ascii="Gotham Book" w:hAnsi="Gotham Book"/>
          <w:b/>
          <w:bCs/>
          <w:color w:val="747474" w:themeColor="background2" w:themeShade="80"/>
          <w:sz w:val="34"/>
          <w:szCs w:val="32"/>
        </w:rPr>
      </w:pPr>
    </w:p>
    <w:p w14:paraId="5056C557" w14:textId="77777777" w:rsidR="00883150" w:rsidRDefault="00883150" w:rsidP="00D316F1">
      <w:pPr>
        <w:spacing w:after="0" w:line="240" w:lineRule="auto"/>
        <w:jc w:val="center"/>
        <w:rPr>
          <w:rFonts w:ascii="Gotham Book" w:hAnsi="Gotham Book"/>
          <w:b/>
          <w:bCs/>
          <w:color w:val="747474" w:themeColor="background2" w:themeShade="80"/>
          <w:sz w:val="34"/>
          <w:szCs w:val="32"/>
        </w:rPr>
      </w:pPr>
    </w:p>
    <w:p w14:paraId="259B53D3" w14:textId="77777777" w:rsidR="001F4B69" w:rsidRDefault="001F4B69" w:rsidP="00D316F1">
      <w:pPr>
        <w:spacing w:after="0" w:line="240" w:lineRule="auto"/>
        <w:jc w:val="center"/>
        <w:rPr>
          <w:rFonts w:ascii="Gotham Book" w:hAnsi="Gotham Book"/>
          <w:b/>
          <w:bCs/>
          <w:color w:val="747474" w:themeColor="background2" w:themeShade="80"/>
          <w:sz w:val="34"/>
          <w:szCs w:val="32"/>
        </w:rPr>
      </w:pPr>
    </w:p>
    <w:p w14:paraId="342D1821" w14:textId="77777777" w:rsidR="001F4B69" w:rsidRDefault="001F4B69" w:rsidP="00D316F1">
      <w:pPr>
        <w:spacing w:after="0" w:line="240" w:lineRule="auto"/>
        <w:jc w:val="center"/>
        <w:rPr>
          <w:rFonts w:ascii="Gotham Book" w:hAnsi="Gotham Book"/>
          <w:b/>
          <w:bCs/>
          <w:color w:val="747474" w:themeColor="background2" w:themeShade="80"/>
          <w:sz w:val="34"/>
          <w:szCs w:val="32"/>
        </w:rPr>
      </w:pPr>
    </w:p>
    <w:p w14:paraId="3B5BB66D" w14:textId="77777777" w:rsidR="001F4B69" w:rsidRDefault="001F4B69" w:rsidP="00D316F1">
      <w:pPr>
        <w:spacing w:after="0" w:line="240" w:lineRule="auto"/>
        <w:jc w:val="center"/>
        <w:rPr>
          <w:rFonts w:ascii="Gotham Book" w:hAnsi="Gotham Book"/>
          <w:b/>
          <w:bCs/>
          <w:color w:val="747474" w:themeColor="background2" w:themeShade="80"/>
          <w:sz w:val="34"/>
          <w:szCs w:val="32"/>
        </w:rPr>
      </w:pPr>
    </w:p>
    <w:p w14:paraId="6311BEDE" w14:textId="77777777" w:rsidR="001F4B69" w:rsidRPr="00DF315E" w:rsidRDefault="001F4B69" w:rsidP="00D316F1">
      <w:pPr>
        <w:spacing w:after="0" w:line="240" w:lineRule="auto"/>
        <w:jc w:val="center"/>
        <w:rPr>
          <w:rFonts w:ascii="Gotham Book" w:hAnsi="Gotham Book"/>
          <w:b/>
          <w:bCs/>
          <w:color w:val="747474" w:themeColor="background2" w:themeShade="80"/>
          <w:sz w:val="34"/>
          <w:szCs w:val="32"/>
        </w:rPr>
      </w:pPr>
    </w:p>
    <w:p w14:paraId="0EC0B4F1" w14:textId="58EE8AB0" w:rsidR="00D316F1" w:rsidRPr="00DF315E" w:rsidRDefault="00D316F1" w:rsidP="00D316F1">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1F4B69">
        <w:rPr>
          <w:rFonts w:ascii="Gotham Book" w:hAnsi="Gotham Book"/>
          <w:b/>
          <w:bCs/>
          <w:color w:val="000000" w:themeColor="text1"/>
          <w:sz w:val="34"/>
          <w:szCs w:val="32"/>
        </w:rPr>
        <w:t>Events of the Revolution</w:t>
      </w:r>
    </w:p>
    <w:p w14:paraId="11EA36FA" w14:textId="77777777" w:rsidR="00D316F1" w:rsidRPr="00DF315E" w:rsidRDefault="00D316F1" w:rsidP="00D316F1">
      <w:pPr>
        <w:rPr>
          <w:rFonts w:ascii="Gotham Book" w:hAnsi="Gotham Book"/>
          <w:sz w:val="22"/>
          <w:szCs w:val="22"/>
        </w:rPr>
      </w:pPr>
    </w:p>
    <w:tbl>
      <w:tblPr>
        <w:tblStyle w:val="TableGrid"/>
        <w:tblW w:w="0" w:type="auto"/>
        <w:tblLook w:val="04A0" w:firstRow="1" w:lastRow="0" w:firstColumn="1" w:lastColumn="0" w:noHBand="0" w:noVBand="1"/>
      </w:tblPr>
      <w:tblGrid>
        <w:gridCol w:w="2236"/>
        <w:gridCol w:w="7114"/>
      </w:tblGrid>
      <w:tr w:rsidR="00D316F1" w:rsidRPr="00DF315E" w14:paraId="578669F2" w14:textId="77777777" w:rsidTr="00754209">
        <w:tc>
          <w:tcPr>
            <w:tcW w:w="2515" w:type="dxa"/>
            <w:shd w:val="clear" w:color="auto" w:fill="D9D9D9" w:themeFill="background1" w:themeFillShade="D9"/>
          </w:tcPr>
          <w:p w14:paraId="614BDBDA" w14:textId="77777777" w:rsidR="00D316F1" w:rsidRPr="00BC511F" w:rsidRDefault="00D316F1" w:rsidP="00754209">
            <w:pPr>
              <w:rPr>
                <w:rFonts w:ascii="Gotham Book" w:hAnsi="Gotham Book"/>
                <w:b/>
                <w:bCs/>
                <w:sz w:val="28"/>
                <w:szCs w:val="32"/>
              </w:rPr>
            </w:pPr>
            <w:r w:rsidRPr="00BC511F">
              <w:rPr>
                <w:rFonts w:ascii="Gotham Book" w:hAnsi="Gotham Book"/>
                <w:b/>
                <w:bCs/>
                <w:sz w:val="28"/>
                <w:szCs w:val="32"/>
              </w:rPr>
              <w:t>Warm-up</w:t>
            </w:r>
          </w:p>
          <w:p w14:paraId="363E1B87" w14:textId="77777777" w:rsidR="00D316F1" w:rsidRPr="00BC511F" w:rsidRDefault="00D316F1" w:rsidP="00754209">
            <w:pPr>
              <w:rPr>
                <w:rFonts w:ascii="Gotham Book" w:hAnsi="Gotham Book"/>
                <w:b/>
                <w:bCs/>
                <w:sz w:val="28"/>
                <w:szCs w:val="32"/>
              </w:rPr>
            </w:pPr>
          </w:p>
          <w:p w14:paraId="07B2E203" w14:textId="77777777" w:rsidR="00D316F1" w:rsidRPr="00BC511F" w:rsidRDefault="00D316F1" w:rsidP="00754209">
            <w:pPr>
              <w:rPr>
                <w:rFonts w:ascii="Gotham Book" w:hAnsi="Gotham Book"/>
                <w:b/>
                <w:bCs/>
                <w:sz w:val="28"/>
                <w:szCs w:val="32"/>
              </w:rPr>
            </w:pPr>
          </w:p>
          <w:p w14:paraId="74954A01" w14:textId="77777777" w:rsidR="00D316F1" w:rsidRPr="00BC511F" w:rsidRDefault="00D316F1" w:rsidP="00754209">
            <w:pPr>
              <w:rPr>
                <w:rFonts w:ascii="Gotham Book" w:hAnsi="Gotham Book"/>
                <w:b/>
                <w:bCs/>
                <w:sz w:val="28"/>
                <w:szCs w:val="32"/>
              </w:rPr>
            </w:pPr>
          </w:p>
        </w:tc>
        <w:tc>
          <w:tcPr>
            <w:tcW w:w="8275" w:type="dxa"/>
          </w:tcPr>
          <w:p w14:paraId="25166B80" w14:textId="72D6FFC0" w:rsidR="00D316F1" w:rsidRDefault="001F4B69" w:rsidP="001F4B69">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complete the prompts in a graphic organizer to identify one event of the Texas Revolution they have learned so far and explain one significant cause and effect of the event.</w:t>
            </w:r>
          </w:p>
          <w:p w14:paraId="36132632" w14:textId="77777777" w:rsidR="001F4B69" w:rsidRDefault="001F4B69" w:rsidP="001F4B69">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2DFAECF2" w14:textId="77777777" w:rsidR="001F4B69" w:rsidRDefault="001F4B69" w:rsidP="001F4B69">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1E44FC0E" w14:textId="4B0DA822" w:rsidR="00FA4651" w:rsidRPr="001F4B69" w:rsidRDefault="00FA4651" w:rsidP="00FA4651">
            <w:pPr>
              <w:pStyle w:val="ListParagraph"/>
              <w:spacing w:after="0" w:line="276" w:lineRule="auto"/>
              <w:rPr>
                <w:rFonts w:ascii="Gotham Book" w:hAnsi="Gotham Book"/>
                <w:sz w:val="24"/>
                <w:szCs w:val="24"/>
              </w:rPr>
            </w:pPr>
          </w:p>
        </w:tc>
      </w:tr>
      <w:tr w:rsidR="00D316F1" w:rsidRPr="00DF315E" w14:paraId="3CD62574" w14:textId="77777777" w:rsidTr="00754209">
        <w:tc>
          <w:tcPr>
            <w:tcW w:w="2515" w:type="dxa"/>
            <w:shd w:val="clear" w:color="auto" w:fill="D9D9D9" w:themeFill="background1" w:themeFillShade="D9"/>
          </w:tcPr>
          <w:p w14:paraId="5A9B3FFB" w14:textId="77777777" w:rsidR="00D316F1" w:rsidRPr="00BC511F" w:rsidRDefault="00D316F1" w:rsidP="00754209">
            <w:pPr>
              <w:rPr>
                <w:rFonts w:ascii="Gotham Book" w:hAnsi="Gotham Book"/>
                <w:b/>
                <w:bCs/>
                <w:sz w:val="28"/>
                <w:szCs w:val="32"/>
              </w:rPr>
            </w:pPr>
            <w:r w:rsidRPr="00BC511F">
              <w:rPr>
                <w:rFonts w:ascii="Gotham Book" w:hAnsi="Gotham Book"/>
                <w:b/>
                <w:bCs/>
                <w:sz w:val="28"/>
                <w:szCs w:val="32"/>
              </w:rPr>
              <w:t>Lesson</w:t>
            </w:r>
          </w:p>
        </w:tc>
        <w:tc>
          <w:tcPr>
            <w:tcW w:w="8275" w:type="dxa"/>
          </w:tcPr>
          <w:p w14:paraId="65EE8E4D" w14:textId="77777777" w:rsidR="00D316F1" w:rsidRDefault="001F4B69" w:rsidP="00754209">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Slideshow</w:t>
            </w:r>
          </w:p>
          <w:p w14:paraId="3046F3E7" w14:textId="77777777" w:rsidR="001F4B69" w:rsidRDefault="001F4B69" w:rsidP="00754209">
            <w:pPr>
              <w:spacing w:after="0" w:line="240" w:lineRule="auto"/>
              <w:rPr>
                <w:rFonts w:ascii="Gotham Book" w:hAnsi="Gotham Book"/>
                <w:color w:val="000000" w:themeColor="text1"/>
                <w:sz w:val="24"/>
                <w:szCs w:val="24"/>
                <w:u w:val="single"/>
              </w:rPr>
            </w:pPr>
          </w:p>
          <w:p w14:paraId="441004FF" w14:textId="77777777" w:rsidR="001F4B69" w:rsidRPr="001F4B69" w:rsidRDefault="001F4B69" w:rsidP="001F4B69">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Provides information about the Battle of Gonzales, the Consultation, the Siege and Battle of the Alamo, the Constitutional Convention of 1836, the Goliad Massacre, the Runaway Scrape, the Battle of San Jacinto and the Treaties of Velasco.</w:t>
            </w:r>
          </w:p>
          <w:p w14:paraId="5F2AC9BF" w14:textId="77777777" w:rsidR="001F4B69" w:rsidRDefault="001F4B69" w:rsidP="001F4B69">
            <w:pPr>
              <w:pStyle w:val="ListParagraph"/>
              <w:numPr>
                <w:ilvl w:val="0"/>
                <w:numId w:val="12"/>
              </w:numPr>
              <w:spacing w:after="0" w:line="240" w:lineRule="auto"/>
              <w:rPr>
                <w:rFonts w:ascii="Gotham Book" w:hAnsi="Gotham Book"/>
                <w:color w:val="000000" w:themeColor="text1"/>
                <w:sz w:val="24"/>
                <w:szCs w:val="24"/>
              </w:rPr>
            </w:pPr>
            <w:r w:rsidRPr="001F4B69">
              <w:rPr>
                <w:rFonts w:ascii="Gotham Book" w:hAnsi="Gotham Book"/>
                <w:color w:val="000000" w:themeColor="text1"/>
                <w:sz w:val="24"/>
                <w:szCs w:val="24"/>
              </w:rPr>
              <w:t xml:space="preserve">Students </w:t>
            </w:r>
            <w:r>
              <w:rPr>
                <w:rFonts w:ascii="Gotham Book" w:hAnsi="Gotham Book"/>
                <w:color w:val="000000" w:themeColor="text1"/>
                <w:sz w:val="24"/>
                <w:szCs w:val="24"/>
              </w:rPr>
              <w:t xml:space="preserve">use the information in the slideshow </w:t>
            </w:r>
            <w:r w:rsidR="00FA4651">
              <w:rPr>
                <w:rFonts w:ascii="Gotham Book" w:hAnsi="Gotham Book"/>
                <w:color w:val="000000" w:themeColor="text1"/>
                <w:sz w:val="24"/>
                <w:szCs w:val="24"/>
              </w:rPr>
              <w:t>to take notes by</w:t>
            </w:r>
            <w:r>
              <w:rPr>
                <w:rFonts w:ascii="Gotham Book" w:hAnsi="Gotham Book"/>
                <w:color w:val="000000" w:themeColor="text1"/>
                <w:sz w:val="24"/>
                <w:szCs w:val="24"/>
              </w:rPr>
              <w:t xml:space="preserve"> writing the key information </w:t>
            </w:r>
            <w:r w:rsidR="00FA4651">
              <w:rPr>
                <w:rFonts w:ascii="Gotham Book" w:hAnsi="Gotham Book"/>
                <w:color w:val="000000" w:themeColor="text1"/>
                <w:sz w:val="24"/>
                <w:szCs w:val="24"/>
              </w:rPr>
              <w:t xml:space="preserve">from the slides </w:t>
            </w:r>
            <w:r>
              <w:rPr>
                <w:rFonts w:ascii="Gotham Book" w:hAnsi="Gotham Book"/>
                <w:color w:val="000000" w:themeColor="text1"/>
                <w:sz w:val="24"/>
                <w:szCs w:val="24"/>
              </w:rPr>
              <w:t>in the graphic organizer</w:t>
            </w:r>
            <w:r w:rsidR="00FA4651">
              <w:rPr>
                <w:rFonts w:ascii="Gotham Book" w:hAnsi="Gotham Book"/>
                <w:color w:val="000000" w:themeColor="text1"/>
                <w:sz w:val="24"/>
                <w:szCs w:val="24"/>
              </w:rPr>
              <w:t xml:space="preserve"> in their worksheet.</w:t>
            </w:r>
          </w:p>
          <w:p w14:paraId="21E7BB68" w14:textId="7E507CA5" w:rsidR="00FA4651" w:rsidRDefault="00FA4651" w:rsidP="001F4B6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 21 provide information with accompanying images.</w:t>
            </w:r>
          </w:p>
          <w:p w14:paraId="52458C67" w14:textId="77777777" w:rsidR="00FA4651" w:rsidRDefault="00FA4651" w:rsidP="00FA4651">
            <w:pPr>
              <w:spacing w:after="0" w:line="240" w:lineRule="auto"/>
              <w:rPr>
                <w:rFonts w:ascii="Gotham Book" w:hAnsi="Gotham Book"/>
                <w:color w:val="000000" w:themeColor="text1"/>
                <w:sz w:val="24"/>
                <w:szCs w:val="24"/>
              </w:rPr>
            </w:pPr>
          </w:p>
          <w:p w14:paraId="4719C8CD" w14:textId="77777777" w:rsidR="00FA4651" w:rsidRDefault="00FA4651" w:rsidP="00FA4651">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Worksheets</w:t>
            </w:r>
          </w:p>
          <w:p w14:paraId="058A6039" w14:textId="77777777" w:rsidR="00FA4651" w:rsidRDefault="00FA4651" w:rsidP="00FA4651">
            <w:pPr>
              <w:spacing w:after="0" w:line="240" w:lineRule="auto"/>
              <w:rPr>
                <w:rFonts w:ascii="Gotham Book" w:hAnsi="Gotham Book"/>
                <w:color w:val="000000" w:themeColor="text1"/>
                <w:sz w:val="24"/>
                <w:szCs w:val="24"/>
              </w:rPr>
            </w:pPr>
          </w:p>
          <w:p w14:paraId="74CCABFB" w14:textId="77777777" w:rsidR="00FA4651" w:rsidRDefault="00FA4651" w:rsidP="00FA4651">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work: Students record their own notes in their graphic organizer. To increase rigor, ask the students to paraphrase longer pieces of information, encouraging them to think about the information enough to put it in their own words. The Advanced work concludes with a cause-and-effect activity in which students choose three events from the lesson and explain one significant cause and effect of each event.</w:t>
            </w:r>
          </w:p>
          <w:p w14:paraId="5C649D7F" w14:textId="77777777" w:rsidR="00FA4651" w:rsidRDefault="00FA4651" w:rsidP="00FA4651">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Grade Level Work: Students record their notes in their graphic organizer by writing small pieces of information and completing fill-in-the-blank segments for longer information. </w:t>
            </w:r>
          </w:p>
          <w:p w14:paraId="0501682D" w14:textId="77777777" w:rsidR="00FA4651" w:rsidRDefault="00FA4651" w:rsidP="00FA4651">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Work: Students record their notes in their graphic organizer by highlighting or circling the correct information or completing reduced fill-in-the-blank segments. </w:t>
            </w:r>
          </w:p>
          <w:p w14:paraId="3C7B505F" w14:textId="77777777" w:rsidR="00FA4651" w:rsidRDefault="00FA4651" w:rsidP="00FA4651">
            <w:pPr>
              <w:spacing w:after="0" w:line="240" w:lineRule="auto"/>
              <w:rPr>
                <w:rFonts w:ascii="Gotham Book" w:hAnsi="Gotham Book"/>
                <w:color w:val="000000" w:themeColor="text1"/>
                <w:sz w:val="24"/>
                <w:szCs w:val="24"/>
              </w:rPr>
            </w:pPr>
          </w:p>
          <w:p w14:paraId="3912E422" w14:textId="77777777" w:rsidR="00FA4651" w:rsidRDefault="00FA4651" w:rsidP="00FA4651">
            <w:pPr>
              <w:spacing w:after="0" w:line="240" w:lineRule="auto"/>
              <w:rPr>
                <w:rFonts w:ascii="Gotham Book" w:hAnsi="Gotham Book"/>
                <w:color w:val="000000" w:themeColor="text1"/>
                <w:sz w:val="24"/>
                <w:szCs w:val="24"/>
              </w:rPr>
            </w:pPr>
            <w:r w:rsidRPr="000366A8">
              <w:rPr>
                <w:rFonts w:ascii="Gotham Book" w:hAnsi="Gotham Book"/>
                <w:b/>
                <w:bCs/>
                <w:color w:val="000000" w:themeColor="text1"/>
                <w:sz w:val="24"/>
                <w:szCs w:val="24"/>
              </w:rPr>
              <w:t>Note</w:t>
            </w:r>
            <w:r>
              <w:rPr>
                <w:rFonts w:ascii="Gotham Book" w:hAnsi="Gotham Book"/>
                <w:color w:val="000000" w:themeColor="text1"/>
                <w:sz w:val="24"/>
                <w:szCs w:val="24"/>
              </w:rPr>
              <w:t xml:space="preserve">: To provide more information on the events of this lesson, consider including readings from the previous lesson, “Who’s Who of the Texas Revolution” (If you have not already completed all of </w:t>
            </w:r>
            <w:r w:rsidR="000366A8">
              <w:rPr>
                <w:rFonts w:ascii="Gotham Book" w:hAnsi="Gotham Book"/>
                <w:color w:val="000000" w:themeColor="text1"/>
                <w:sz w:val="24"/>
                <w:szCs w:val="24"/>
              </w:rPr>
              <w:t>the readings. There is a list of which people fit into specific parts of this lesson in the Lesson Plan and Teacher Guide from the “Who’s Who of the Texas Revolution” lesson</w:t>
            </w:r>
            <w:r>
              <w:rPr>
                <w:rFonts w:ascii="Gotham Book" w:hAnsi="Gotham Book"/>
                <w:color w:val="000000" w:themeColor="text1"/>
                <w:sz w:val="24"/>
                <w:szCs w:val="24"/>
              </w:rPr>
              <w:t xml:space="preserve">.) </w:t>
            </w:r>
          </w:p>
          <w:p w14:paraId="10F25C93" w14:textId="30F12289" w:rsidR="000366A8" w:rsidRPr="00FA4651" w:rsidRDefault="000366A8" w:rsidP="00FA4651">
            <w:pPr>
              <w:spacing w:after="0" w:line="240" w:lineRule="auto"/>
              <w:rPr>
                <w:rFonts w:ascii="Gotham Book" w:hAnsi="Gotham Book"/>
                <w:color w:val="000000" w:themeColor="text1"/>
                <w:sz w:val="24"/>
                <w:szCs w:val="24"/>
              </w:rPr>
            </w:pPr>
          </w:p>
        </w:tc>
      </w:tr>
      <w:tr w:rsidR="00D316F1" w:rsidRPr="00DF315E" w14:paraId="7F11EBBB" w14:textId="77777777" w:rsidTr="00754209">
        <w:tc>
          <w:tcPr>
            <w:tcW w:w="2515" w:type="dxa"/>
            <w:shd w:val="clear" w:color="auto" w:fill="D9D9D9" w:themeFill="background1" w:themeFillShade="D9"/>
          </w:tcPr>
          <w:p w14:paraId="7E67B9DD" w14:textId="77777777" w:rsidR="00D316F1" w:rsidRPr="00BC511F" w:rsidRDefault="00D316F1" w:rsidP="00754209">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6C52549C" w14:textId="77777777" w:rsidR="00D316F1" w:rsidRPr="00BC511F" w:rsidRDefault="00D316F1" w:rsidP="00754209">
            <w:pPr>
              <w:rPr>
                <w:rFonts w:ascii="Gotham Book" w:hAnsi="Gotham Book"/>
                <w:b/>
                <w:bCs/>
                <w:sz w:val="28"/>
                <w:szCs w:val="32"/>
              </w:rPr>
            </w:pPr>
          </w:p>
          <w:p w14:paraId="2D84D24B" w14:textId="77777777" w:rsidR="00D316F1" w:rsidRPr="00BC511F" w:rsidRDefault="00D316F1" w:rsidP="00754209">
            <w:pPr>
              <w:rPr>
                <w:rFonts w:ascii="Gotham Book" w:hAnsi="Gotham Book"/>
                <w:sz w:val="28"/>
                <w:szCs w:val="32"/>
              </w:rPr>
            </w:pPr>
          </w:p>
        </w:tc>
        <w:tc>
          <w:tcPr>
            <w:tcW w:w="8275" w:type="dxa"/>
          </w:tcPr>
          <w:p w14:paraId="512A824B" w14:textId="77777777" w:rsidR="00D316F1" w:rsidRDefault="00FA4651" w:rsidP="00FA4651">
            <w:pPr>
              <w:pStyle w:val="ListParagraph"/>
              <w:numPr>
                <w:ilvl w:val="0"/>
                <w:numId w:val="14"/>
              </w:numPr>
              <w:spacing w:after="0" w:line="240" w:lineRule="auto"/>
              <w:rPr>
                <w:rFonts w:ascii="Gotham Book" w:hAnsi="Gotham Book"/>
                <w:sz w:val="24"/>
                <w:szCs w:val="24"/>
              </w:rPr>
            </w:pPr>
            <w:r>
              <w:rPr>
                <w:rFonts w:ascii="Gotham Book" w:hAnsi="Gotham Book"/>
                <w:sz w:val="24"/>
                <w:szCs w:val="24"/>
              </w:rPr>
              <w:t>Students create a True/False statement based on information from the day’s lesson and explain why their statement is true or false.</w:t>
            </w:r>
          </w:p>
          <w:p w14:paraId="5B845731" w14:textId="4431C2CF" w:rsidR="00FA4651" w:rsidRPr="00FA4651" w:rsidRDefault="00FA4651" w:rsidP="00FA4651">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Slides 22 and 23 restate the directions and provide sentence stems to guide student responses when sharing with the class. </w:t>
            </w:r>
          </w:p>
        </w:tc>
      </w:tr>
    </w:tbl>
    <w:p w14:paraId="6D8D6B94" w14:textId="77777777" w:rsidR="00D316F1" w:rsidRPr="00DF315E" w:rsidRDefault="00D316F1" w:rsidP="00D316F1">
      <w:pPr>
        <w:rPr>
          <w:rFonts w:ascii="Gotham Book" w:hAnsi="Gotham Book"/>
          <w:sz w:val="22"/>
          <w:szCs w:val="22"/>
        </w:rPr>
      </w:pPr>
    </w:p>
    <w:p w14:paraId="6564F656" w14:textId="77777777" w:rsidR="00D316F1" w:rsidRPr="00DF315E" w:rsidRDefault="00D316F1" w:rsidP="00D316F1">
      <w:pPr>
        <w:rPr>
          <w:rFonts w:ascii="Gotham Book" w:hAnsi="Gotham Book"/>
          <w:noProof/>
          <w:sz w:val="18"/>
          <w:szCs w:val="18"/>
        </w:rPr>
      </w:pPr>
    </w:p>
    <w:p w14:paraId="6D4B3EE5" w14:textId="77777777" w:rsidR="00D316F1" w:rsidRPr="00DF315E" w:rsidRDefault="00D316F1" w:rsidP="00D316F1">
      <w:pPr>
        <w:rPr>
          <w:rFonts w:ascii="Gotham Book" w:hAnsi="Gotham Book"/>
          <w:noProof/>
          <w:sz w:val="18"/>
          <w:szCs w:val="18"/>
        </w:rPr>
      </w:pPr>
    </w:p>
    <w:p w14:paraId="7AB8C87B" w14:textId="77777777" w:rsidR="00D316F1" w:rsidRDefault="00D316F1" w:rsidP="00D316F1">
      <w:pPr>
        <w:rPr>
          <w:rFonts w:ascii="Gotham Book" w:hAnsi="Gotham Book"/>
          <w:noProof/>
          <w:sz w:val="18"/>
          <w:szCs w:val="18"/>
        </w:rPr>
      </w:pPr>
    </w:p>
    <w:p w14:paraId="78047F1A" w14:textId="77777777" w:rsidR="000366A8" w:rsidRDefault="000366A8" w:rsidP="00D316F1">
      <w:pPr>
        <w:rPr>
          <w:rFonts w:ascii="Gotham Book" w:hAnsi="Gotham Book"/>
          <w:noProof/>
          <w:sz w:val="18"/>
          <w:szCs w:val="18"/>
        </w:rPr>
      </w:pPr>
    </w:p>
    <w:p w14:paraId="3CB1E6BF" w14:textId="77777777" w:rsidR="000366A8" w:rsidRDefault="000366A8" w:rsidP="00D316F1">
      <w:pPr>
        <w:rPr>
          <w:rFonts w:ascii="Gotham Book" w:hAnsi="Gotham Book"/>
          <w:noProof/>
          <w:sz w:val="18"/>
          <w:szCs w:val="18"/>
        </w:rPr>
      </w:pPr>
    </w:p>
    <w:p w14:paraId="3636D4AC" w14:textId="77777777" w:rsidR="000366A8" w:rsidRDefault="000366A8" w:rsidP="00D316F1">
      <w:pPr>
        <w:rPr>
          <w:rFonts w:ascii="Gotham Book" w:hAnsi="Gotham Book"/>
          <w:noProof/>
          <w:sz w:val="18"/>
          <w:szCs w:val="18"/>
        </w:rPr>
      </w:pPr>
    </w:p>
    <w:p w14:paraId="678C62B3" w14:textId="77777777" w:rsidR="000366A8" w:rsidRDefault="000366A8" w:rsidP="00D316F1">
      <w:pPr>
        <w:rPr>
          <w:rFonts w:ascii="Gotham Book" w:hAnsi="Gotham Book"/>
          <w:noProof/>
          <w:sz w:val="18"/>
          <w:szCs w:val="18"/>
        </w:rPr>
      </w:pPr>
    </w:p>
    <w:p w14:paraId="6D3972BB" w14:textId="77777777" w:rsidR="000366A8" w:rsidRDefault="000366A8" w:rsidP="00D316F1">
      <w:pPr>
        <w:rPr>
          <w:rFonts w:ascii="Gotham Book" w:hAnsi="Gotham Book"/>
          <w:noProof/>
          <w:sz w:val="18"/>
          <w:szCs w:val="18"/>
        </w:rPr>
      </w:pPr>
    </w:p>
    <w:p w14:paraId="458FA996" w14:textId="77777777" w:rsidR="000366A8" w:rsidRDefault="000366A8" w:rsidP="00D316F1">
      <w:pPr>
        <w:rPr>
          <w:rFonts w:ascii="Gotham Book" w:hAnsi="Gotham Book"/>
          <w:noProof/>
          <w:sz w:val="18"/>
          <w:szCs w:val="18"/>
        </w:rPr>
      </w:pPr>
    </w:p>
    <w:p w14:paraId="7BDD8DB1" w14:textId="77777777" w:rsidR="000366A8" w:rsidRDefault="000366A8" w:rsidP="00D316F1">
      <w:pPr>
        <w:rPr>
          <w:rFonts w:ascii="Gotham Book" w:hAnsi="Gotham Book"/>
          <w:noProof/>
          <w:sz w:val="18"/>
          <w:szCs w:val="18"/>
        </w:rPr>
      </w:pPr>
    </w:p>
    <w:p w14:paraId="5A7834AD" w14:textId="77777777" w:rsidR="000366A8" w:rsidRDefault="000366A8" w:rsidP="00D316F1">
      <w:pPr>
        <w:rPr>
          <w:rFonts w:ascii="Gotham Book" w:hAnsi="Gotham Book"/>
          <w:noProof/>
          <w:sz w:val="18"/>
          <w:szCs w:val="18"/>
        </w:rPr>
      </w:pPr>
    </w:p>
    <w:p w14:paraId="4F2ED389" w14:textId="77777777" w:rsidR="000366A8" w:rsidRDefault="000366A8" w:rsidP="00D316F1">
      <w:pPr>
        <w:rPr>
          <w:rFonts w:ascii="Gotham Book" w:hAnsi="Gotham Book"/>
          <w:noProof/>
          <w:sz w:val="18"/>
          <w:szCs w:val="18"/>
        </w:rPr>
      </w:pPr>
    </w:p>
    <w:p w14:paraId="1734C354" w14:textId="77777777" w:rsidR="000366A8" w:rsidRDefault="000366A8" w:rsidP="00D316F1">
      <w:pPr>
        <w:rPr>
          <w:rFonts w:ascii="Gotham Book" w:hAnsi="Gotham Book"/>
          <w:noProof/>
          <w:sz w:val="18"/>
          <w:szCs w:val="18"/>
        </w:rPr>
      </w:pPr>
    </w:p>
    <w:p w14:paraId="5CD90ABD" w14:textId="77777777" w:rsidR="000366A8" w:rsidRDefault="000366A8" w:rsidP="00D316F1">
      <w:pPr>
        <w:rPr>
          <w:rFonts w:ascii="Gotham Book" w:hAnsi="Gotham Book"/>
          <w:noProof/>
          <w:sz w:val="18"/>
          <w:szCs w:val="18"/>
        </w:rPr>
      </w:pPr>
    </w:p>
    <w:p w14:paraId="301702C6" w14:textId="77777777" w:rsidR="000366A8" w:rsidRDefault="000366A8" w:rsidP="00D316F1">
      <w:pPr>
        <w:rPr>
          <w:rFonts w:ascii="Gotham Book" w:hAnsi="Gotham Book"/>
          <w:noProof/>
          <w:sz w:val="18"/>
          <w:szCs w:val="18"/>
        </w:rPr>
      </w:pPr>
    </w:p>
    <w:p w14:paraId="052D4285" w14:textId="77777777" w:rsidR="000366A8" w:rsidRDefault="000366A8" w:rsidP="00D316F1">
      <w:pPr>
        <w:rPr>
          <w:rFonts w:ascii="Gotham Book" w:hAnsi="Gotham Book"/>
          <w:noProof/>
          <w:sz w:val="18"/>
          <w:szCs w:val="18"/>
        </w:rPr>
      </w:pPr>
    </w:p>
    <w:p w14:paraId="056B1537" w14:textId="77777777" w:rsidR="000366A8" w:rsidRDefault="000366A8" w:rsidP="00D316F1">
      <w:pPr>
        <w:rPr>
          <w:rFonts w:ascii="Gotham Book" w:hAnsi="Gotham Book"/>
          <w:noProof/>
          <w:sz w:val="18"/>
          <w:szCs w:val="18"/>
        </w:rPr>
      </w:pPr>
    </w:p>
    <w:p w14:paraId="09C390C8" w14:textId="77777777" w:rsidR="000366A8" w:rsidRDefault="000366A8" w:rsidP="00D316F1">
      <w:pPr>
        <w:rPr>
          <w:rFonts w:ascii="Gotham Book" w:hAnsi="Gotham Book"/>
          <w:noProof/>
          <w:sz w:val="18"/>
          <w:szCs w:val="18"/>
        </w:rPr>
      </w:pPr>
    </w:p>
    <w:p w14:paraId="6CC2C8D0" w14:textId="77777777" w:rsidR="00883150" w:rsidRDefault="00883150" w:rsidP="00D316F1">
      <w:pPr>
        <w:rPr>
          <w:rFonts w:ascii="Gotham Book" w:hAnsi="Gotham Book"/>
          <w:noProof/>
          <w:sz w:val="18"/>
          <w:szCs w:val="18"/>
        </w:rPr>
      </w:pPr>
    </w:p>
    <w:p w14:paraId="706E97B5" w14:textId="77777777" w:rsidR="00883150" w:rsidRDefault="00883150" w:rsidP="00D316F1">
      <w:pPr>
        <w:rPr>
          <w:rFonts w:ascii="Gotham Book" w:hAnsi="Gotham Book"/>
          <w:noProof/>
          <w:sz w:val="18"/>
          <w:szCs w:val="18"/>
        </w:rPr>
      </w:pPr>
    </w:p>
    <w:p w14:paraId="00C890B0" w14:textId="77777777" w:rsidR="00883150" w:rsidRDefault="00883150" w:rsidP="00D316F1">
      <w:pPr>
        <w:rPr>
          <w:rFonts w:ascii="Gotham Book" w:hAnsi="Gotham Book"/>
          <w:noProof/>
          <w:sz w:val="18"/>
          <w:szCs w:val="18"/>
        </w:rPr>
      </w:pPr>
    </w:p>
    <w:p w14:paraId="4A3E7E4D" w14:textId="77777777" w:rsidR="000366A8" w:rsidRDefault="000366A8" w:rsidP="00D316F1">
      <w:pPr>
        <w:rPr>
          <w:rFonts w:ascii="Gotham Book" w:hAnsi="Gotham Book"/>
          <w:noProof/>
          <w:sz w:val="18"/>
          <w:szCs w:val="18"/>
        </w:rPr>
      </w:pPr>
    </w:p>
    <w:p w14:paraId="0107AB4B" w14:textId="77777777" w:rsidR="000366A8" w:rsidRPr="00DF315E" w:rsidRDefault="000366A8" w:rsidP="00D316F1">
      <w:pPr>
        <w:rPr>
          <w:rFonts w:ascii="Gotham Book" w:hAnsi="Gotham Book"/>
          <w:noProof/>
          <w:sz w:val="18"/>
          <w:szCs w:val="18"/>
        </w:rPr>
      </w:pPr>
    </w:p>
    <w:p w14:paraId="1DF0091A" w14:textId="77777777" w:rsidR="00D316F1" w:rsidRPr="00DF315E" w:rsidRDefault="00D316F1" w:rsidP="00D316F1">
      <w:pPr>
        <w:rPr>
          <w:rFonts w:ascii="Gotham Book" w:hAnsi="Gotham Book"/>
          <w:noProof/>
          <w:sz w:val="18"/>
          <w:szCs w:val="18"/>
        </w:rPr>
      </w:pPr>
    </w:p>
    <w:p w14:paraId="1C99EC03" w14:textId="77777777" w:rsidR="00D316F1" w:rsidRPr="00093A67" w:rsidRDefault="00D316F1" w:rsidP="00D316F1">
      <w:pPr>
        <w:jc w:val="center"/>
        <w:rPr>
          <w:rFonts w:ascii="Gotham Book" w:hAnsi="Gotham Book"/>
          <w:b/>
          <w:bCs/>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38E04B84" w14:textId="77777777" w:rsidR="001D047B" w:rsidRDefault="001D047B" w:rsidP="001D047B">
      <w:pPr>
        <w:pStyle w:val="ListParagraph"/>
        <w:numPr>
          <w:ilvl w:val="0"/>
          <w:numId w:val="15"/>
        </w:numPr>
        <w:rPr>
          <w:rFonts w:ascii="Gotham Book" w:hAnsi="Gotham Book"/>
          <w:sz w:val="24"/>
          <w:szCs w:val="24"/>
        </w:rPr>
      </w:pPr>
      <w:r w:rsidRPr="009C6FCE">
        <w:rPr>
          <w:rFonts w:ascii="Gotham Book" w:hAnsi="Gotham Book"/>
          <w:sz w:val="24"/>
          <w:szCs w:val="24"/>
        </w:rPr>
        <w:t>Littlejohn, E. G., 1862-. Texas History Stories: The Alamo, Remember Goliad, Story of San Jacinto., periodical, 1901; Richmond, Virginia. (</w:t>
      </w:r>
      <w:bookmarkStart w:id="2" w:name="_Hlk193880620"/>
      <w:r w:rsidRPr="009C6FCE">
        <w:rPr>
          <w:rFonts w:ascii="Gotham Book" w:hAnsi="Gotham Book"/>
          <w:sz w:val="24"/>
          <w:szCs w:val="24"/>
        </w:rPr>
        <w:fldChar w:fldCharType="begin"/>
      </w:r>
      <w:r w:rsidRPr="009C6FCE">
        <w:rPr>
          <w:rFonts w:ascii="Gotham Book" w:hAnsi="Gotham Book"/>
          <w:sz w:val="24"/>
          <w:szCs w:val="24"/>
        </w:rPr>
        <w:instrText>HYPERLINK "https://texashistory.unt.edu/ark:/67531/metapth14381/"</w:instrText>
      </w:r>
      <w:r w:rsidRPr="009C6FCE">
        <w:rPr>
          <w:rFonts w:ascii="Gotham Book" w:hAnsi="Gotham Book"/>
          <w:sz w:val="24"/>
          <w:szCs w:val="24"/>
        </w:rPr>
      </w:r>
      <w:r w:rsidRPr="009C6FCE">
        <w:rPr>
          <w:rFonts w:ascii="Gotham Book" w:hAnsi="Gotham Book"/>
          <w:sz w:val="24"/>
          <w:szCs w:val="24"/>
        </w:rPr>
        <w:fldChar w:fldCharType="separate"/>
      </w:r>
      <w:r w:rsidRPr="009C6FCE">
        <w:rPr>
          <w:rStyle w:val="Hyperlink"/>
          <w:rFonts w:ascii="Gotham Book" w:hAnsi="Gotham Book"/>
          <w:sz w:val="24"/>
          <w:szCs w:val="24"/>
        </w:rPr>
        <w:t>https://texashistory.unt.edu/ark:/67531/metapth14381/</w:t>
      </w:r>
      <w:r w:rsidRPr="009C6FCE">
        <w:rPr>
          <w:rFonts w:ascii="Gotham Book" w:hAnsi="Gotham Book"/>
          <w:sz w:val="24"/>
          <w:szCs w:val="24"/>
        </w:rPr>
        <w:fldChar w:fldCharType="end"/>
      </w:r>
      <w:bookmarkEnd w:id="2"/>
      <w:r w:rsidRPr="009C6FCE">
        <w:rPr>
          <w:rFonts w:ascii="Gotham Book" w:hAnsi="Gotham Book"/>
          <w:sz w:val="24"/>
          <w:szCs w:val="24"/>
        </w:rPr>
        <w:t xml:space="preserve">: accessed February 25, 2025), University of North Texas Libraries, The Portal to Texas History, </w:t>
      </w:r>
      <w:hyperlink r:id="rId7" w:history="1">
        <w:r w:rsidRPr="009C6FCE">
          <w:rPr>
            <w:rStyle w:val="Hyperlink"/>
            <w:rFonts w:ascii="Gotham Book" w:hAnsi="Gotham Book"/>
            <w:sz w:val="24"/>
            <w:szCs w:val="24"/>
          </w:rPr>
          <w:t>https://texashistory.unt.edu</w:t>
        </w:r>
      </w:hyperlink>
      <w:r w:rsidRPr="009C6FCE">
        <w:rPr>
          <w:rFonts w:ascii="Gotham Book" w:hAnsi="Gotham Book"/>
          <w:sz w:val="24"/>
          <w:szCs w:val="24"/>
        </w:rPr>
        <w:t>; crediting UNT Libraries Special Collections.</w:t>
      </w:r>
    </w:p>
    <w:p w14:paraId="0FBDD422"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sz w:val="24"/>
          <w:szCs w:val="24"/>
        </w:rPr>
        <w:t>Locator map of Coahuila y Texas state in Mexico, edited focus on Texas and show</w:t>
      </w:r>
      <w:r>
        <w:rPr>
          <w:rFonts w:ascii="Gotham Book" w:hAnsi="Gotham Book"/>
          <w:sz w:val="24"/>
          <w:szCs w:val="24"/>
        </w:rPr>
        <w:t xml:space="preserve"> significant locations around Mexican Texas</w:t>
      </w:r>
      <w:r w:rsidRPr="004E6969">
        <w:rPr>
          <w:rFonts w:ascii="Gotham Book" w:hAnsi="Gotham Book"/>
          <w:sz w:val="24"/>
          <w:szCs w:val="24"/>
        </w:rPr>
        <w:t>. This file is licensed under the </w:t>
      </w:r>
      <w:hyperlink r:id="rId8" w:history="1">
        <w:r w:rsidRPr="004E6969">
          <w:rPr>
            <w:rStyle w:val="Hyperlink"/>
            <w:rFonts w:ascii="Gotham Book" w:hAnsi="Gotham Book"/>
            <w:sz w:val="24"/>
            <w:szCs w:val="24"/>
          </w:rPr>
          <w:t>Creative Commons</w:t>
        </w:r>
      </w:hyperlink>
      <w:r w:rsidRPr="004E6969">
        <w:rPr>
          <w:rFonts w:ascii="Gotham Book" w:hAnsi="Gotham Book"/>
          <w:sz w:val="24"/>
          <w:szCs w:val="24"/>
        </w:rPr>
        <w:t> </w:t>
      </w:r>
      <w:hyperlink r:id="rId9" w:history="1">
        <w:r w:rsidRPr="004E6969">
          <w:rPr>
            <w:rStyle w:val="Hyperlink"/>
            <w:rFonts w:ascii="Gotham Book" w:hAnsi="Gotham Book"/>
            <w:sz w:val="24"/>
            <w:szCs w:val="24"/>
          </w:rPr>
          <w:t>Attribution-Share Alike 4.0 International</w:t>
        </w:r>
      </w:hyperlink>
      <w:r w:rsidRPr="004E6969">
        <w:rPr>
          <w:rFonts w:ascii="Gotham Book" w:hAnsi="Gotham Book"/>
          <w:sz w:val="24"/>
          <w:szCs w:val="24"/>
        </w:rPr>
        <w:t xml:space="preserve"> license. https://commons.wikimedia.org/wiki/File:Coahuila_y_Texas_in_Mexico_(1824).svg </w:t>
      </w:r>
    </w:p>
    <w:p w14:paraId="007FD347"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sz w:val="24"/>
          <w:szCs w:val="24"/>
        </w:rPr>
        <w:t xml:space="preserve">The Come and Take it Flag. The Texas Historical Commission. </w:t>
      </w:r>
      <w:bookmarkStart w:id="3" w:name="_Hlk193880644"/>
      <w:r w:rsidRPr="004E6969">
        <w:rPr>
          <w:rFonts w:ascii="Gotham Book" w:hAnsi="Gotham Book"/>
          <w:sz w:val="24"/>
          <w:szCs w:val="24"/>
        </w:rPr>
        <w:fldChar w:fldCharType="begin"/>
      </w:r>
      <w:r w:rsidRPr="004E6969">
        <w:rPr>
          <w:rFonts w:ascii="Gotham Book" w:hAnsi="Gotham Book"/>
          <w:sz w:val="24"/>
          <w:szCs w:val="24"/>
        </w:rPr>
        <w:instrText>HYPERLINK "https://thc.texas.gov/blog/flags-texas-revolution"</w:instrText>
      </w:r>
      <w:r w:rsidRPr="004E6969">
        <w:rPr>
          <w:rFonts w:ascii="Gotham Book" w:hAnsi="Gotham Book"/>
          <w:sz w:val="24"/>
          <w:szCs w:val="24"/>
        </w:rPr>
      </w:r>
      <w:r w:rsidRPr="004E6969">
        <w:rPr>
          <w:rFonts w:ascii="Gotham Book" w:hAnsi="Gotham Book"/>
          <w:sz w:val="24"/>
          <w:szCs w:val="24"/>
        </w:rPr>
        <w:fldChar w:fldCharType="separate"/>
      </w:r>
      <w:r w:rsidRPr="004E6969">
        <w:rPr>
          <w:rStyle w:val="Hyperlink"/>
          <w:rFonts w:ascii="Gotham Book" w:hAnsi="Gotham Book"/>
          <w:sz w:val="24"/>
          <w:szCs w:val="24"/>
        </w:rPr>
        <w:t>Flags of the Texas Revolution | Texas Historical Commission</w:t>
      </w:r>
      <w:r w:rsidRPr="004E6969">
        <w:rPr>
          <w:rFonts w:ascii="Gotham Book" w:hAnsi="Gotham Book"/>
          <w:sz w:val="24"/>
          <w:szCs w:val="24"/>
        </w:rPr>
        <w:fldChar w:fldCharType="end"/>
      </w:r>
      <w:r w:rsidRPr="004E6969">
        <w:rPr>
          <w:rFonts w:ascii="Gotham Book" w:hAnsi="Gotham Book"/>
          <w:sz w:val="24"/>
          <w:szCs w:val="24"/>
        </w:rPr>
        <w:t xml:space="preserve"> </w:t>
      </w:r>
    </w:p>
    <w:bookmarkEnd w:id="3"/>
    <w:p w14:paraId="42D903BD"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sz w:val="24"/>
          <w:szCs w:val="24"/>
        </w:rPr>
        <w:t xml:space="preserve">The Battle of Gonzales. The Texas Historical Commission. </w:t>
      </w:r>
      <w:bookmarkStart w:id="4" w:name="_Hlk193880665"/>
      <w:r w:rsidRPr="004E6969">
        <w:rPr>
          <w:rFonts w:ascii="Gotham Book" w:hAnsi="Gotham Book"/>
          <w:sz w:val="24"/>
          <w:szCs w:val="24"/>
        </w:rPr>
        <w:fldChar w:fldCharType="begin"/>
      </w:r>
      <w:r w:rsidRPr="004E6969">
        <w:rPr>
          <w:rFonts w:ascii="Gotham Book" w:hAnsi="Gotham Book"/>
          <w:sz w:val="24"/>
          <w:szCs w:val="24"/>
        </w:rPr>
        <w:instrText>HYPERLINK "https://thc.texas.gov/blog/flags-texas-revolution"</w:instrText>
      </w:r>
      <w:r w:rsidRPr="004E6969">
        <w:rPr>
          <w:rFonts w:ascii="Gotham Book" w:hAnsi="Gotham Book"/>
          <w:sz w:val="24"/>
          <w:szCs w:val="24"/>
        </w:rPr>
      </w:r>
      <w:r w:rsidRPr="004E6969">
        <w:rPr>
          <w:rFonts w:ascii="Gotham Book" w:hAnsi="Gotham Book"/>
          <w:sz w:val="24"/>
          <w:szCs w:val="24"/>
        </w:rPr>
        <w:fldChar w:fldCharType="separate"/>
      </w:r>
      <w:r w:rsidRPr="004E6969">
        <w:rPr>
          <w:rStyle w:val="Hyperlink"/>
          <w:rFonts w:ascii="Gotham Book" w:hAnsi="Gotham Book"/>
          <w:sz w:val="24"/>
          <w:szCs w:val="24"/>
        </w:rPr>
        <w:t>Flags of the Texas Revolution | Texas Historical Commission</w:t>
      </w:r>
      <w:r w:rsidRPr="004E6969">
        <w:rPr>
          <w:rFonts w:ascii="Gotham Book" w:hAnsi="Gotham Book"/>
          <w:sz w:val="24"/>
          <w:szCs w:val="24"/>
        </w:rPr>
        <w:fldChar w:fldCharType="end"/>
      </w:r>
      <w:r w:rsidRPr="004E6969">
        <w:rPr>
          <w:rFonts w:ascii="Gotham Book" w:hAnsi="Gotham Book"/>
          <w:sz w:val="24"/>
          <w:szCs w:val="24"/>
        </w:rPr>
        <w:t xml:space="preserve"> </w:t>
      </w:r>
      <w:bookmarkEnd w:id="4"/>
    </w:p>
    <w:p w14:paraId="1A71454D"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sz w:val="24"/>
          <w:szCs w:val="24"/>
        </w:rPr>
        <w:t xml:space="preserve">Texas. Parks and Wildlife Department. Interpretive Guide to: </w:t>
      </w:r>
      <w:bookmarkStart w:id="5" w:name="_Hlk193880687"/>
      <w:r w:rsidRPr="004E6969">
        <w:rPr>
          <w:rFonts w:ascii="Gotham Book" w:hAnsi="Gotham Book"/>
          <w:sz w:val="24"/>
          <w:szCs w:val="24"/>
        </w:rPr>
        <w:t xml:space="preserve">Washington-On-the-Brazos State Historic Site, </w:t>
      </w:r>
      <w:bookmarkEnd w:id="5"/>
      <w:r w:rsidRPr="004E6969">
        <w:rPr>
          <w:rFonts w:ascii="Gotham Book" w:hAnsi="Gotham Book"/>
          <w:sz w:val="24"/>
          <w:szCs w:val="24"/>
        </w:rPr>
        <w:t>pamphlet, 2013; Austin, TX. (</w:t>
      </w:r>
      <w:bookmarkStart w:id="6" w:name="_Hlk193880699"/>
      <w:r w:rsidRPr="004E6969">
        <w:rPr>
          <w:rFonts w:ascii="Gotham Book" w:hAnsi="Gotham Book"/>
          <w:sz w:val="24"/>
          <w:szCs w:val="24"/>
        </w:rPr>
        <w:fldChar w:fldCharType="begin"/>
      </w:r>
      <w:r w:rsidRPr="004E6969">
        <w:rPr>
          <w:rFonts w:ascii="Gotham Book" w:hAnsi="Gotham Book"/>
          <w:sz w:val="24"/>
          <w:szCs w:val="24"/>
        </w:rPr>
        <w:instrText>HYPERLINK "https://texashistory.unt.edu/ark:/67531/metapth661961/"</w:instrText>
      </w:r>
      <w:r w:rsidRPr="004E6969">
        <w:rPr>
          <w:rFonts w:ascii="Gotham Book" w:hAnsi="Gotham Book"/>
          <w:sz w:val="24"/>
          <w:szCs w:val="24"/>
        </w:rPr>
      </w:r>
      <w:r w:rsidRPr="004E6969">
        <w:rPr>
          <w:rFonts w:ascii="Gotham Book" w:hAnsi="Gotham Book"/>
          <w:sz w:val="24"/>
          <w:szCs w:val="24"/>
        </w:rPr>
        <w:fldChar w:fldCharType="separate"/>
      </w:r>
      <w:r w:rsidRPr="004E6969">
        <w:rPr>
          <w:rStyle w:val="Hyperlink"/>
          <w:rFonts w:ascii="Gotham Book" w:hAnsi="Gotham Book"/>
          <w:sz w:val="24"/>
          <w:szCs w:val="24"/>
        </w:rPr>
        <w:t>https://texashistory.unt.edu/ark:/67531/metapth661961/</w:t>
      </w:r>
      <w:r w:rsidRPr="004E6969">
        <w:rPr>
          <w:rFonts w:ascii="Gotham Book" w:hAnsi="Gotham Book"/>
          <w:sz w:val="24"/>
          <w:szCs w:val="24"/>
        </w:rPr>
        <w:fldChar w:fldCharType="end"/>
      </w:r>
      <w:bookmarkEnd w:id="6"/>
      <w:r w:rsidRPr="004E6969">
        <w:rPr>
          <w:rFonts w:ascii="Gotham Book" w:hAnsi="Gotham Book"/>
          <w:sz w:val="24"/>
          <w:szCs w:val="24"/>
        </w:rPr>
        <w:t xml:space="preserve">: accessed February 18, 2025), University of North Texas Libraries, The Portal to Texas History, </w:t>
      </w:r>
      <w:hyperlink r:id="rId10" w:history="1">
        <w:r w:rsidRPr="004E6969">
          <w:rPr>
            <w:rStyle w:val="Hyperlink"/>
            <w:rFonts w:ascii="Gotham Book" w:hAnsi="Gotham Book"/>
            <w:sz w:val="24"/>
            <w:szCs w:val="24"/>
          </w:rPr>
          <w:t>https://texashistory.unt.edu</w:t>
        </w:r>
      </w:hyperlink>
      <w:r w:rsidRPr="004E6969">
        <w:rPr>
          <w:rFonts w:ascii="Gotham Book" w:hAnsi="Gotham Book"/>
          <w:sz w:val="24"/>
          <w:szCs w:val="24"/>
        </w:rPr>
        <w:t>; crediting UNT Libraries Government Documents Department.</w:t>
      </w:r>
    </w:p>
    <w:p w14:paraId="067C5F89"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sz w:val="24"/>
          <w:szCs w:val="24"/>
        </w:rPr>
        <w:t>"Siege of the Alamo", map, Date Unknown; (</w:t>
      </w:r>
      <w:bookmarkStart w:id="7" w:name="_Hlk193880724"/>
      <w:r w:rsidRPr="004E6969">
        <w:rPr>
          <w:rFonts w:ascii="Gotham Book" w:hAnsi="Gotham Book"/>
          <w:sz w:val="24"/>
          <w:szCs w:val="24"/>
        </w:rPr>
        <w:fldChar w:fldCharType="begin"/>
      </w:r>
      <w:r w:rsidRPr="004E6969">
        <w:rPr>
          <w:rFonts w:ascii="Gotham Book" w:hAnsi="Gotham Book"/>
          <w:sz w:val="24"/>
          <w:szCs w:val="24"/>
        </w:rPr>
        <w:instrText>HYPERLINK "https://texashistory.unt.edu/ark:/67531/metapth30279/"</w:instrText>
      </w:r>
      <w:r w:rsidRPr="004E6969">
        <w:rPr>
          <w:rFonts w:ascii="Gotham Book" w:hAnsi="Gotham Book"/>
          <w:sz w:val="24"/>
          <w:szCs w:val="24"/>
        </w:rPr>
      </w:r>
      <w:r w:rsidRPr="004E6969">
        <w:rPr>
          <w:rFonts w:ascii="Gotham Book" w:hAnsi="Gotham Book"/>
          <w:sz w:val="24"/>
          <w:szCs w:val="24"/>
        </w:rPr>
        <w:fldChar w:fldCharType="separate"/>
      </w:r>
      <w:r w:rsidRPr="004E6969">
        <w:rPr>
          <w:rStyle w:val="Hyperlink"/>
          <w:rFonts w:ascii="Gotham Book" w:hAnsi="Gotham Book"/>
          <w:sz w:val="24"/>
          <w:szCs w:val="24"/>
        </w:rPr>
        <w:t>https://texashistory.unt.edu/ark:/67531/metapth30279/</w:t>
      </w:r>
      <w:r w:rsidRPr="004E6969">
        <w:rPr>
          <w:rFonts w:ascii="Gotham Book" w:hAnsi="Gotham Book"/>
          <w:sz w:val="24"/>
          <w:szCs w:val="24"/>
        </w:rPr>
        <w:fldChar w:fldCharType="end"/>
      </w:r>
      <w:bookmarkEnd w:id="7"/>
      <w:r w:rsidRPr="004E6969">
        <w:rPr>
          <w:rFonts w:ascii="Gotham Book" w:hAnsi="Gotham Book"/>
          <w:sz w:val="24"/>
          <w:szCs w:val="24"/>
        </w:rPr>
        <w:t>: accessed March 13, 2025), University of North Texas Libraries, The Portal to Texas History, </w:t>
      </w:r>
      <w:hyperlink r:id="rId11" w:history="1">
        <w:r w:rsidRPr="004E6969">
          <w:rPr>
            <w:rStyle w:val="Hyperlink"/>
            <w:rFonts w:ascii="Gotham Book" w:hAnsi="Gotham Book"/>
            <w:sz w:val="24"/>
            <w:szCs w:val="24"/>
          </w:rPr>
          <w:t>https://texashistory.unt.edu</w:t>
        </w:r>
      </w:hyperlink>
      <w:r w:rsidRPr="004E6969">
        <w:rPr>
          <w:rFonts w:ascii="Gotham Book" w:hAnsi="Gotham Book"/>
          <w:sz w:val="24"/>
          <w:szCs w:val="24"/>
        </w:rPr>
        <w:t>; crediting Star of the Republic Museum.</w:t>
      </w:r>
    </w:p>
    <w:p w14:paraId="6C69C5F6"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i/>
          <w:iCs/>
          <w:sz w:val="24"/>
          <w:szCs w:val="24"/>
        </w:rPr>
        <w:t xml:space="preserve">Portrait of William B. Travis </w:t>
      </w:r>
      <w:r w:rsidRPr="004E6969">
        <w:rPr>
          <w:rFonts w:ascii="Gotham Book" w:hAnsi="Gotham Book"/>
          <w:sz w:val="24"/>
          <w:szCs w:val="24"/>
        </w:rPr>
        <w:t xml:space="preserve">by McArdle. The McArdle Scrapbooks Dawn at the Alamo. Texas State Library and Archives. </w:t>
      </w:r>
      <w:bookmarkStart w:id="8" w:name="_Hlk193880749"/>
      <w:r w:rsidRPr="004E6969">
        <w:rPr>
          <w:rFonts w:ascii="Gotham Book" w:hAnsi="Gotham Book"/>
          <w:sz w:val="24"/>
          <w:szCs w:val="24"/>
        </w:rPr>
        <w:fldChar w:fldCharType="begin"/>
      </w:r>
      <w:r w:rsidRPr="004E6969">
        <w:rPr>
          <w:rFonts w:ascii="Gotham Book" w:hAnsi="Gotham Book"/>
          <w:sz w:val="24"/>
          <w:szCs w:val="24"/>
        </w:rPr>
        <w:instrText>HYPERLINK "https://www.tsl.texas.gov/mcardle/alamo/alamo74.html"</w:instrText>
      </w:r>
      <w:r w:rsidRPr="004E6969">
        <w:rPr>
          <w:rFonts w:ascii="Gotham Book" w:hAnsi="Gotham Book"/>
          <w:sz w:val="24"/>
          <w:szCs w:val="24"/>
        </w:rPr>
      </w:r>
      <w:r w:rsidRPr="004E6969">
        <w:rPr>
          <w:rFonts w:ascii="Gotham Book" w:hAnsi="Gotham Book"/>
          <w:sz w:val="24"/>
          <w:szCs w:val="24"/>
        </w:rPr>
        <w:fldChar w:fldCharType="separate"/>
      </w:r>
      <w:r w:rsidRPr="004E6969">
        <w:rPr>
          <w:rStyle w:val="Hyperlink"/>
          <w:rFonts w:ascii="Gotham Book" w:hAnsi="Gotham Book"/>
          <w:sz w:val="24"/>
          <w:szCs w:val="24"/>
        </w:rPr>
        <w:t>Portrait of William B. Travis by McArdle | Texas State Library</w:t>
      </w:r>
      <w:r w:rsidRPr="004E6969">
        <w:rPr>
          <w:rFonts w:ascii="Gotham Book" w:hAnsi="Gotham Book"/>
          <w:sz w:val="24"/>
          <w:szCs w:val="24"/>
        </w:rPr>
        <w:fldChar w:fldCharType="end"/>
      </w:r>
      <w:r w:rsidRPr="004E6969">
        <w:rPr>
          <w:rFonts w:ascii="Gotham Book" w:hAnsi="Gotham Book"/>
          <w:sz w:val="24"/>
          <w:szCs w:val="24"/>
        </w:rPr>
        <w:t xml:space="preserve"> </w:t>
      </w:r>
    </w:p>
    <w:bookmarkEnd w:id="8"/>
    <w:p w14:paraId="30DC5B3D"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i/>
          <w:iCs/>
          <w:sz w:val="24"/>
          <w:szCs w:val="24"/>
        </w:rPr>
        <w:t xml:space="preserve">Portrait of William B. Travis </w:t>
      </w:r>
      <w:r w:rsidRPr="004E6969">
        <w:rPr>
          <w:rFonts w:ascii="Gotham Book" w:hAnsi="Gotham Book"/>
          <w:sz w:val="24"/>
          <w:szCs w:val="24"/>
        </w:rPr>
        <w:t xml:space="preserve">by McArdle. The McArdle Scrapbooks Dawn at the Alamo. Texas State Library and Archives. </w:t>
      </w:r>
      <w:hyperlink r:id="rId12" w:history="1">
        <w:r w:rsidRPr="004E6969">
          <w:rPr>
            <w:rStyle w:val="Hyperlink"/>
            <w:rFonts w:ascii="Gotham Book" w:hAnsi="Gotham Book"/>
            <w:sz w:val="24"/>
            <w:szCs w:val="24"/>
          </w:rPr>
          <w:t>Portrait of William B. Travis by McArdle | Texas State Library</w:t>
        </w:r>
      </w:hyperlink>
      <w:r w:rsidRPr="004E6969">
        <w:rPr>
          <w:rFonts w:ascii="Gotham Book" w:hAnsi="Gotham Book"/>
          <w:sz w:val="24"/>
          <w:szCs w:val="24"/>
        </w:rPr>
        <w:t xml:space="preserve"> </w:t>
      </w:r>
    </w:p>
    <w:p w14:paraId="10A50A28"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i/>
          <w:iCs/>
          <w:sz w:val="24"/>
          <w:szCs w:val="24"/>
        </w:rPr>
        <w:t>Juan Seguin.</w:t>
      </w:r>
      <w:r w:rsidRPr="004E6969">
        <w:rPr>
          <w:rFonts w:ascii="Gotham Book" w:hAnsi="Gotham Book"/>
          <w:sz w:val="24"/>
          <w:szCs w:val="24"/>
        </w:rPr>
        <w:t xml:space="preserve"> Giants of Texas History. Texas State Library and Archives.</w:t>
      </w:r>
      <w:bookmarkStart w:id="9" w:name="_Hlk193880774"/>
      <w:r w:rsidRPr="004E6969">
        <w:rPr>
          <w:rFonts w:ascii="Gotham Book" w:hAnsi="Gotham Book"/>
          <w:sz w:val="24"/>
          <w:szCs w:val="24"/>
        </w:rPr>
        <w:t xml:space="preserve"> </w:t>
      </w:r>
      <w:hyperlink r:id="rId13" w:history="1">
        <w:r w:rsidRPr="004E6969">
          <w:rPr>
            <w:rStyle w:val="Hyperlink"/>
            <w:rFonts w:ascii="Gotham Book" w:hAnsi="Gotham Book"/>
            <w:sz w:val="24"/>
            <w:szCs w:val="24"/>
          </w:rPr>
          <w:t>Juan Seguin | Texas State Library</w:t>
        </w:r>
      </w:hyperlink>
      <w:bookmarkEnd w:id="9"/>
    </w:p>
    <w:p w14:paraId="26834F97"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sz w:val="24"/>
          <w:szCs w:val="24"/>
        </w:rPr>
        <w:t xml:space="preserve">Highsmith, Carol M. </w:t>
      </w:r>
      <w:r w:rsidRPr="004E6969">
        <w:rPr>
          <w:rFonts w:ascii="Gotham Book" w:hAnsi="Gotham Book"/>
          <w:i/>
          <w:iCs/>
          <w:sz w:val="24"/>
          <w:szCs w:val="24"/>
        </w:rPr>
        <w:t>Painting, ‘Dawn at the Alamo,’ by Henry Arthur McArdle, Hanging in the Senate Chamber of the Texas State Capitol in Austin, Texas</w:t>
      </w:r>
      <w:r w:rsidRPr="004E6969">
        <w:rPr>
          <w:rFonts w:ascii="Gotham Book" w:hAnsi="Gotham Book"/>
          <w:sz w:val="24"/>
          <w:szCs w:val="24"/>
        </w:rPr>
        <w:t xml:space="preserve">. April 17, 2014. Library of Congress Prints and Photographs Division. </w:t>
      </w:r>
      <w:bookmarkStart w:id="10" w:name="_Hlk193880816"/>
      <w:r w:rsidRPr="004E6969">
        <w:rPr>
          <w:rFonts w:ascii="Gotham Book" w:hAnsi="Gotham Book"/>
          <w:sz w:val="24"/>
          <w:szCs w:val="24"/>
          <w:u w:val="single"/>
        </w:rPr>
        <w:fldChar w:fldCharType="begin"/>
      </w:r>
      <w:r w:rsidRPr="004E6969">
        <w:rPr>
          <w:rFonts w:ascii="Gotham Book" w:hAnsi="Gotham Book"/>
          <w:sz w:val="24"/>
          <w:szCs w:val="24"/>
          <w:u w:val="single"/>
        </w:rPr>
        <w:instrText>HYPERLINK "https://www.loc.gov/pictures/resource/highsm.27909/"</w:instrText>
      </w:r>
      <w:r w:rsidRPr="004E6969">
        <w:rPr>
          <w:rFonts w:ascii="Gotham Book" w:hAnsi="Gotham Book"/>
          <w:sz w:val="24"/>
          <w:szCs w:val="24"/>
          <w:u w:val="single"/>
        </w:rPr>
      </w:r>
      <w:r w:rsidRPr="004E6969">
        <w:rPr>
          <w:rFonts w:ascii="Gotham Book" w:hAnsi="Gotham Book"/>
          <w:sz w:val="24"/>
          <w:szCs w:val="24"/>
          <w:u w:val="single"/>
        </w:rPr>
        <w:fldChar w:fldCharType="separate"/>
      </w:r>
      <w:r w:rsidRPr="004E6969">
        <w:rPr>
          <w:rStyle w:val="Hyperlink"/>
          <w:rFonts w:ascii="Gotham Book" w:hAnsi="Gotham Book"/>
          <w:sz w:val="24"/>
          <w:szCs w:val="24"/>
        </w:rPr>
        <w:t>https://www.loc.gov/pictures/resource/highsm.27909/</w:t>
      </w:r>
      <w:r w:rsidRPr="004E6969">
        <w:rPr>
          <w:rFonts w:ascii="Gotham Book" w:hAnsi="Gotham Book"/>
          <w:sz w:val="24"/>
          <w:szCs w:val="24"/>
        </w:rPr>
        <w:fldChar w:fldCharType="end"/>
      </w:r>
    </w:p>
    <w:bookmarkEnd w:id="10"/>
    <w:p w14:paraId="16910A08"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sz w:val="24"/>
          <w:szCs w:val="24"/>
        </w:rPr>
        <w:t>Texas. Parks and Wildlife Department. Interpretive Guide to: Washington-On-the-Brazos State Historic Site, pamphlet, 2013; Austin, TX. (</w:t>
      </w:r>
      <w:hyperlink r:id="rId14" w:history="1">
        <w:r w:rsidRPr="004E6969">
          <w:rPr>
            <w:rStyle w:val="Hyperlink"/>
            <w:rFonts w:ascii="Gotham Book" w:hAnsi="Gotham Book"/>
            <w:sz w:val="24"/>
            <w:szCs w:val="24"/>
          </w:rPr>
          <w:t>https://texashistory.unt.edu/ark:/67531/metapth661961/</w:t>
        </w:r>
      </w:hyperlink>
      <w:r w:rsidRPr="004E6969">
        <w:rPr>
          <w:rFonts w:ascii="Gotham Book" w:hAnsi="Gotham Book"/>
          <w:sz w:val="24"/>
          <w:szCs w:val="24"/>
        </w:rPr>
        <w:t xml:space="preserve">: accessed February 18, 2025), University of North Texas Libraries, The Portal to Texas History, </w:t>
      </w:r>
      <w:hyperlink r:id="rId15" w:history="1">
        <w:r w:rsidRPr="004E6969">
          <w:rPr>
            <w:rStyle w:val="Hyperlink"/>
            <w:rFonts w:ascii="Gotham Book" w:hAnsi="Gotham Book"/>
            <w:sz w:val="24"/>
            <w:szCs w:val="24"/>
          </w:rPr>
          <w:t>https://texashistory.unt.edu</w:t>
        </w:r>
      </w:hyperlink>
      <w:r w:rsidRPr="004E6969">
        <w:rPr>
          <w:rFonts w:ascii="Gotham Book" w:hAnsi="Gotham Book"/>
          <w:sz w:val="24"/>
          <w:szCs w:val="24"/>
        </w:rPr>
        <w:t>; crediting UNT Libraries Government Documents Department.</w:t>
      </w:r>
    </w:p>
    <w:p w14:paraId="553A94E5"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sz w:val="24"/>
          <w:szCs w:val="24"/>
        </w:rPr>
        <w:t>Star of the Republic Museum (Washington, Tex.). Star of the Republic Museum Notes, Volume 43, Number 2, 2018, periodical, 2018; Washington, Texas. (</w:t>
      </w:r>
      <w:bookmarkStart w:id="11" w:name="_Hlk193880889"/>
      <w:r w:rsidRPr="004E6969">
        <w:rPr>
          <w:rFonts w:ascii="Gotham Book" w:hAnsi="Gotham Book"/>
          <w:sz w:val="24"/>
          <w:szCs w:val="24"/>
        </w:rPr>
        <w:fldChar w:fldCharType="begin"/>
      </w:r>
      <w:r w:rsidRPr="004E6969">
        <w:rPr>
          <w:rFonts w:ascii="Gotham Book" w:hAnsi="Gotham Book"/>
          <w:sz w:val="24"/>
          <w:szCs w:val="24"/>
        </w:rPr>
        <w:instrText>HYPERLINK "https://texashistory.unt.edu/ark:/67531/metapth1115241/"</w:instrText>
      </w:r>
      <w:r w:rsidRPr="004E6969">
        <w:rPr>
          <w:rFonts w:ascii="Gotham Book" w:hAnsi="Gotham Book"/>
          <w:sz w:val="24"/>
          <w:szCs w:val="24"/>
        </w:rPr>
      </w:r>
      <w:r w:rsidRPr="004E6969">
        <w:rPr>
          <w:rFonts w:ascii="Gotham Book" w:hAnsi="Gotham Book"/>
          <w:sz w:val="24"/>
          <w:szCs w:val="24"/>
        </w:rPr>
        <w:fldChar w:fldCharType="separate"/>
      </w:r>
      <w:r w:rsidRPr="004E6969">
        <w:rPr>
          <w:rStyle w:val="Hyperlink"/>
          <w:rFonts w:ascii="Gotham Book" w:hAnsi="Gotham Book"/>
          <w:sz w:val="24"/>
          <w:szCs w:val="24"/>
        </w:rPr>
        <w:t>https://texashistory.unt.edu/ark:/67531/metapth1115241/</w:t>
      </w:r>
      <w:r w:rsidRPr="004E6969">
        <w:rPr>
          <w:rFonts w:ascii="Gotham Book" w:hAnsi="Gotham Book"/>
          <w:sz w:val="24"/>
          <w:szCs w:val="24"/>
        </w:rPr>
        <w:fldChar w:fldCharType="end"/>
      </w:r>
      <w:bookmarkEnd w:id="11"/>
      <w:r w:rsidRPr="004E6969">
        <w:rPr>
          <w:rFonts w:ascii="Gotham Book" w:hAnsi="Gotham Book"/>
          <w:sz w:val="24"/>
          <w:szCs w:val="24"/>
        </w:rPr>
        <w:t xml:space="preserve">: accessed February 25, 2025), University of North Texas Libraries, The Portal to Texas History, </w:t>
      </w:r>
      <w:hyperlink r:id="rId16" w:history="1">
        <w:r w:rsidRPr="004E6969">
          <w:rPr>
            <w:rStyle w:val="Hyperlink"/>
            <w:rFonts w:ascii="Gotham Book" w:hAnsi="Gotham Book"/>
            <w:sz w:val="24"/>
            <w:szCs w:val="24"/>
          </w:rPr>
          <w:t>https://texashistory.unt.edu</w:t>
        </w:r>
      </w:hyperlink>
      <w:r w:rsidRPr="004E6969">
        <w:rPr>
          <w:rFonts w:ascii="Gotham Book" w:hAnsi="Gotham Book"/>
          <w:sz w:val="24"/>
          <w:szCs w:val="24"/>
        </w:rPr>
        <w:t>; crediting UNT Libraries Government Documents Department.</w:t>
      </w:r>
    </w:p>
    <w:p w14:paraId="436EF3AD"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sz w:val="24"/>
          <w:szCs w:val="24"/>
        </w:rPr>
        <w:t>Map of the Battlefield of San Jacinto, map, 1938?; (</w:t>
      </w:r>
      <w:bookmarkStart w:id="12" w:name="_Hlk193880915"/>
      <w:r w:rsidRPr="004E6969">
        <w:rPr>
          <w:rFonts w:ascii="Gotham Book" w:hAnsi="Gotham Book"/>
          <w:sz w:val="24"/>
          <w:szCs w:val="24"/>
        </w:rPr>
        <w:fldChar w:fldCharType="begin"/>
      </w:r>
      <w:r w:rsidRPr="004E6969">
        <w:rPr>
          <w:rFonts w:ascii="Gotham Book" w:hAnsi="Gotham Book"/>
          <w:sz w:val="24"/>
          <w:szCs w:val="24"/>
        </w:rPr>
        <w:instrText>HYPERLINK "https://texashistory.unt.edu/ark:/67531/metapth493074/"</w:instrText>
      </w:r>
      <w:r w:rsidRPr="004E6969">
        <w:rPr>
          <w:rFonts w:ascii="Gotham Book" w:hAnsi="Gotham Book"/>
          <w:sz w:val="24"/>
          <w:szCs w:val="24"/>
        </w:rPr>
      </w:r>
      <w:r w:rsidRPr="004E6969">
        <w:rPr>
          <w:rFonts w:ascii="Gotham Book" w:hAnsi="Gotham Book"/>
          <w:sz w:val="24"/>
          <w:szCs w:val="24"/>
        </w:rPr>
        <w:fldChar w:fldCharType="separate"/>
      </w:r>
      <w:r w:rsidRPr="004E6969">
        <w:rPr>
          <w:rStyle w:val="Hyperlink"/>
          <w:rFonts w:ascii="Gotham Book" w:hAnsi="Gotham Book"/>
          <w:sz w:val="24"/>
          <w:szCs w:val="24"/>
        </w:rPr>
        <w:t>https://texashistory.unt.edu/ark:/67531/metapth493074/</w:t>
      </w:r>
      <w:r w:rsidRPr="004E6969">
        <w:rPr>
          <w:rFonts w:ascii="Gotham Book" w:hAnsi="Gotham Book"/>
          <w:sz w:val="24"/>
          <w:szCs w:val="24"/>
        </w:rPr>
        <w:fldChar w:fldCharType="end"/>
      </w:r>
      <w:r w:rsidRPr="004E6969">
        <w:rPr>
          <w:rFonts w:ascii="Gotham Book" w:hAnsi="Gotham Book"/>
          <w:sz w:val="24"/>
          <w:szCs w:val="24"/>
        </w:rPr>
        <w:t xml:space="preserve">: </w:t>
      </w:r>
      <w:bookmarkEnd w:id="12"/>
      <w:r w:rsidRPr="004E6969">
        <w:rPr>
          <w:rFonts w:ascii="Gotham Book" w:hAnsi="Gotham Book"/>
          <w:sz w:val="24"/>
          <w:szCs w:val="24"/>
        </w:rPr>
        <w:t xml:space="preserve">accessed February 25, 2025), University of North Texas Libraries, The Portal to Texas History, </w:t>
      </w:r>
      <w:hyperlink r:id="rId17" w:history="1">
        <w:r w:rsidRPr="004E6969">
          <w:rPr>
            <w:rStyle w:val="Hyperlink"/>
            <w:rFonts w:ascii="Gotham Book" w:hAnsi="Gotham Book"/>
            <w:sz w:val="24"/>
            <w:szCs w:val="24"/>
          </w:rPr>
          <w:t>https://texashistory.unt.edu</w:t>
        </w:r>
      </w:hyperlink>
      <w:r w:rsidRPr="004E6969">
        <w:rPr>
          <w:rFonts w:ascii="Gotham Book" w:hAnsi="Gotham Book"/>
          <w:sz w:val="24"/>
          <w:szCs w:val="24"/>
        </w:rPr>
        <w:t>; crediting Hardin-Simmons University Library.</w:t>
      </w:r>
    </w:p>
    <w:p w14:paraId="12870F90" w14:textId="77777777" w:rsidR="001D047B" w:rsidRPr="004E6969" w:rsidRDefault="001D047B" w:rsidP="001D047B">
      <w:pPr>
        <w:pStyle w:val="ListParagraph"/>
        <w:numPr>
          <w:ilvl w:val="0"/>
          <w:numId w:val="15"/>
        </w:numPr>
        <w:rPr>
          <w:rFonts w:ascii="Gotham Book" w:hAnsi="Gotham Book"/>
          <w:sz w:val="24"/>
          <w:szCs w:val="24"/>
        </w:rPr>
      </w:pPr>
      <w:r w:rsidRPr="004E6969">
        <w:rPr>
          <w:rFonts w:ascii="Gotham Book" w:hAnsi="Gotham Book"/>
          <w:i/>
          <w:iCs/>
          <w:sz w:val="24"/>
          <w:szCs w:val="24"/>
        </w:rPr>
        <w:t>Treaty of Velasco</w:t>
      </w:r>
      <w:r w:rsidRPr="004E6969">
        <w:rPr>
          <w:rFonts w:ascii="Gotham Book" w:hAnsi="Gotham Book"/>
          <w:sz w:val="24"/>
          <w:szCs w:val="24"/>
        </w:rPr>
        <w:t xml:space="preserve">. 1836. Text. University of North Texas Libraries, The Portal to Texas History; crediting Star of the Republic Museum. </w:t>
      </w:r>
      <w:hyperlink r:id="rId18" w:history="1">
        <w:r w:rsidRPr="004E6969">
          <w:rPr>
            <w:rStyle w:val="Hyperlink"/>
            <w:rFonts w:ascii="Gotham Book" w:hAnsi="Gotham Book"/>
            <w:sz w:val="24"/>
            <w:szCs w:val="24"/>
          </w:rPr>
          <w:t>https://texashistory.unt.edu/ark:/67531/metapth31159/</w:t>
        </w:r>
      </w:hyperlink>
      <w:r w:rsidRPr="004E6969">
        <w:rPr>
          <w:rFonts w:ascii="Gotham Book" w:hAnsi="Gotham Book"/>
          <w:sz w:val="24"/>
          <w:szCs w:val="24"/>
        </w:rPr>
        <w:t xml:space="preserve">.  </w:t>
      </w:r>
    </w:p>
    <w:p w14:paraId="600D3CD5" w14:textId="77777777" w:rsidR="0065438C" w:rsidRDefault="0065438C"/>
    <w:sectPr w:rsidR="0065438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5B76" w14:textId="77777777" w:rsidR="00D316F1" w:rsidRDefault="00D316F1" w:rsidP="00D316F1">
      <w:pPr>
        <w:spacing w:after="0" w:line="240" w:lineRule="auto"/>
      </w:pPr>
      <w:r>
        <w:separator/>
      </w:r>
    </w:p>
  </w:endnote>
  <w:endnote w:type="continuationSeparator" w:id="0">
    <w:p w14:paraId="1467B45C" w14:textId="77777777" w:rsidR="00D316F1" w:rsidRDefault="00D316F1" w:rsidP="00D3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604"/>
      <w:docPartObj>
        <w:docPartGallery w:val="Page Numbers (Bottom of Page)"/>
        <w:docPartUnique/>
      </w:docPartObj>
    </w:sdtPr>
    <w:sdtEndPr>
      <w:rPr>
        <w:noProof/>
      </w:rPr>
    </w:sdtEndPr>
    <w:sdtContent>
      <w:p w14:paraId="79786670" w14:textId="3F3E4C29" w:rsidR="00D316F1" w:rsidRDefault="00495AB0">
        <w:pPr>
          <w:pStyle w:val="Footer"/>
          <w:jc w:val="center"/>
        </w:pPr>
        <w:r>
          <w:rPr>
            <w:noProof/>
            <w:sz w:val="18"/>
            <w:szCs w:val="18"/>
          </w:rPr>
          <w:drawing>
            <wp:anchor distT="0" distB="0" distL="114300" distR="114300" simplePos="0" relativeHeight="251659264" behindDoc="1" locked="0" layoutInCell="1" allowOverlap="1" wp14:anchorId="35480041" wp14:editId="4AE887D4">
              <wp:simplePos x="0" y="0"/>
              <wp:positionH relativeFrom="margin">
                <wp:posOffset>5602147</wp:posOffset>
              </wp:positionH>
              <wp:positionV relativeFrom="paragraph">
                <wp:posOffset>-145367</wp:posOffset>
              </wp:positionV>
              <wp:extent cx="653415" cy="669290"/>
              <wp:effectExtent l="0" t="0" r="0" b="0"/>
              <wp:wrapTight wrapText="bothSides">
                <wp:wrapPolygon edited="0">
                  <wp:start x="5038" y="0"/>
                  <wp:lineTo x="0" y="3689"/>
                  <wp:lineTo x="0" y="15985"/>
                  <wp:lineTo x="3149" y="19674"/>
                  <wp:lineTo x="5668" y="20903"/>
                  <wp:lineTo x="15114" y="20903"/>
                  <wp:lineTo x="17633" y="19674"/>
                  <wp:lineTo x="20781" y="15985"/>
                  <wp:lineTo x="20781" y="3689"/>
                  <wp:lineTo x="15114" y="0"/>
                  <wp:lineTo x="5038"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415" cy="669290"/>
                      </a:xfrm>
                      <a:prstGeom prst="rect">
                        <a:avLst/>
                      </a:prstGeom>
                    </pic:spPr>
                  </pic:pic>
                </a:graphicData>
              </a:graphic>
              <wp14:sizeRelH relativeFrom="page">
                <wp14:pctWidth>0</wp14:pctWidth>
              </wp14:sizeRelH>
              <wp14:sizeRelV relativeFrom="page">
                <wp14:pctHeight>0</wp14:pctHeight>
              </wp14:sizeRelV>
            </wp:anchor>
          </w:drawing>
        </w:r>
        <w:r w:rsidR="00D316F1">
          <w:fldChar w:fldCharType="begin"/>
        </w:r>
        <w:r w:rsidR="00D316F1">
          <w:instrText xml:space="preserve"> PAGE   \* MERGEFORMAT </w:instrText>
        </w:r>
        <w:r w:rsidR="00D316F1">
          <w:fldChar w:fldCharType="separate"/>
        </w:r>
        <w:r w:rsidR="00D316F1">
          <w:rPr>
            <w:noProof/>
          </w:rPr>
          <w:t>2</w:t>
        </w:r>
        <w:r w:rsidR="00D316F1">
          <w:rPr>
            <w:noProof/>
          </w:rPr>
          <w:fldChar w:fldCharType="end"/>
        </w:r>
      </w:p>
    </w:sdtContent>
  </w:sdt>
  <w:p w14:paraId="099A9C36" w14:textId="04B56DB4" w:rsidR="00D316F1" w:rsidRDefault="00D31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8AF0" w14:textId="77777777" w:rsidR="00D316F1" w:rsidRDefault="00D316F1" w:rsidP="00D316F1">
      <w:pPr>
        <w:spacing w:after="0" w:line="240" w:lineRule="auto"/>
      </w:pPr>
      <w:r>
        <w:separator/>
      </w:r>
    </w:p>
  </w:footnote>
  <w:footnote w:type="continuationSeparator" w:id="0">
    <w:p w14:paraId="1D4EF1DF" w14:textId="77777777" w:rsidR="00D316F1" w:rsidRDefault="00D316F1" w:rsidP="00D31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2C90" w14:textId="28436D43" w:rsidR="00D316F1" w:rsidRDefault="00D316F1">
    <w:pPr>
      <w:pStyle w:val="Header"/>
    </w:pPr>
    <w:r w:rsidRPr="008D7B34">
      <w:rPr>
        <w:rFonts w:ascii="Gotham Book" w:hAnsi="Gotham Book"/>
        <w:noProof/>
      </w:rPr>
      <w:drawing>
        <wp:anchor distT="0" distB="0" distL="114300" distR="114300" simplePos="0" relativeHeight="251660288" behindDoc="1" locked="0" layoutInCell="1" allowOverlap="1" wp14:anchorId="5A46F699" wp14:editId="7383CC75">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42D3B" w14:textId="77777777" w:rsidR="00D316F1" w:rsidRDefault="00D31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7D7"/>
    <w:multiLevelType w:val="hybridMultilevel"/>
    <w:tmpl w:val="65D075E2"/>
    <w:lvl w:ilvl="0" w:tplc="02DADDAC">
      <w:start w:val="13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B75E1"/>
    <w:multiLevelType w:val="hybridMultilevel"/>
    <w:tmpl w:val="2F7C098E"/>
    <w:lvl w:ilvl="0" w:tplc="E6E8CECE">
      <w:start w:val="1"/>
      <w:numFmt w:val="decimal"/>
      <w:lvlText w:val="%1."/>
      <w:lvlJc w:val="left"/>
      <w:pPr>
        <w:tabs>
          <w:tab w:val="num" w:pos="720"/>
        </w:tabs>
        <w:ind w:left="720" w:hanging="360"/>
      </w:pPr>
    </w:lvl>
    <w:lvl w:ilvl="1" w:tplc="6C88260E" w:tentative="1">
      <w:start w:val="1"/>
      <w:numFmt w:val="decimal"/>
      <w:lvlText w:val="%2."/>
      <w:lvlJc w:val="left"/>
      <w:pPr>
        <w:tabs>
          <w:tab w:val="num" w:pos="1440"/>
        </w:tabs>
        <w:ind w:left="1440" w:hanging="360"/>
      </w:pPr>
    </w:lvl>
    <w:lvl w:ilvl="2" w:tplc="65BAFF66" w:tentative="1">
      <w:start w:val="1"/>
      <w:numFmt w:val="decimal"/>
      <w:lvlText w:val="%3."/>
      <w:lvlJc w:val="left"/>
      <w:pPr>
        <w:tabs>
          <w:tab w:val="num" w:pos="2160"/>
        </w:tabs>
        <w:ind w:left="2160" w:hanging="360"/>
      </w:pPr>
    </w:lvl>
    <w:lvl w:ilvl="3" w:tplc="7FC2D94A" w:tentative="1">
      <w:start w:val="1"/>
      <w:numFmt w:val="decimal"/>
      <w:lvlText w:val="%4."/>
      <w:lvlJc w:val="left"/>
      <w:pPr>
        <w:tabs>
          <w:tab w:val="num" w:pos="2880"/>
        </w:tabs>
        <w:ind w:left="2880" w:hanging="360"/>
      </w:pPr>
    </w:lvl>
    <w:lvl w:ilvl="4" w:tplc="94B09D92" w:tentative="1">
      <w:start w:val="1"/>
      <w:numFmt w:val="decimal"/>
      <w:lvlText w:val="%5."/>
      <w:lvlJc w:val="left"/>
      <w:pPr>
        <w:tabs>
          <w:tab w:val="num" w:pos="3600"/>
        </w:tabs>
        <w:ind w:left="3600" w:hanging="360"/>
      </w:pPr>
    </w:lvl>
    <w:lvl w:ilvl="5" w:tplc="5278204C" w:tentative="1">
      <w:start w:val="1"/>
      <w:numFmt w:val="decimal"/>
      <w:lvlText w:val="%6."/>
      <w:lvlJc w:val="left"/>
      <w:pPr>
        <w:tabs>
          <w:tab w:val="num" w:pos="4320"/>
        </w:tabs>
        <w:ind w:left="4320" w:hanging="360"/>
      </w:pPr>
    </w:lvl>
    <w:lvl w:ilvl="6" w:tplc="8A764124" w:tentative="1">
      <w:start w:val="1"/>
      <w:numFmt w:val="decimal"/>
      <w:lvlText w:val="%7."/>
      <w:lvlJc w:val="left"/>
      <w:pPr>
        <w:tabs>
          <w:tab w:val="num" w:pos="5040"/>
        </w:tabs>
        <w:ind w:left="5040" w:hanging="360"/>
      </w:pPr>
    </w:lvl>
    <w:lvl w:ilvl="7" w:tplc="4E8EEE68" w:tentative="1">
      <w:start w:val="1"/>
      <w:numFmt w:val="decimal"/>
      <w:lvlText w:val="%8."/>
      <w:lvlJc w:val="left"/>
      <w:pPr>
        <w:tabs>
          <w:tab w:val="num" w:pos="5760"/>
        </w:tabs>
        <w:ind w:left="5760" w:hanging="360"/>
      </w:pPr>
    </w:lvl>
    <w:lvl w:ilvl="8" w:tplc="AC386848" w:tentative="1">
      <w:start w:val="1"/>
      <w:numFmt w:val="decimal"/>
      <w:lvlText w:val="%9."/>
      <w:lvlJc w:val="left"/>
      <w:pPr>
        <w:tabs>
          <w:tab w:val="num" w:pos="6480"/>
        </w:tabs>
        <w:ind w:left="6480" w:hanging="360"/>
      </w:p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54CB2"/>
    <w:multiLevelType w:val="hybridMultilevel"/>
    <w:tmpl w:val="EE5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56524"/>
    <w:multiLevelType w:val="hybridMultilevel"/>
    <w:tmpl w:val="CC9A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42F5C"/>
    <w:multiLevelType w:val="hybridMultilevel"/>
    <w:tmpl w:val="3C2E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652A46"/>
    <w:multiLevelType w:val="hybridMultilevel"/>
    <w:tmpl w:val="A7783B08"/>
    <w:lvl w:ilvl="0" w:tplc="02DADDAC">
      <w:start w:val="13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5A23F1"/>
    <w:multiLevelType w:val="hybridMultilevel"/>
    <w:tmpl w:val="111E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120D7"/>
    <w:multiLevelType w:val="hybridMultilevel"/>
    <w:tmpl w:val="1354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B66BB"/>
    <w:multiLevelType w:val="hybridMultilevel"/>
    <w:tmpl w:val="B7DA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F3706B"/>
    <w:multiLevelType w:val="hybridMultilevel"/>
    <w:tmpl w:val="F3BC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7725"/>
    <w:multiLevelType w:val="hybridMultilevel"/>
    <w:tmpl w:val="3C98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5"/>
  </w:num>
  <w:num w:numId="3" w16cid:durableId="1452819361">
    <w:abstractNumId w:val="7"/>
  </w:num>
  <w:num w:numId="4" w16cid:durableId="1678657642">
    <w:abstractNumId w:val="12"/>
  </w:num>
  <w:num w:numId="5" w16cid:durableId="2081825376">
    <w:abstractNumId w:val="1"/>
  </w:num>
  <w:num w:numId="6" w16cid:durableId="759643155">
    <w:abstractNumId w:val="11"/>
  </w:num>
  <w:num w:numId="7" w16cid:durableId="649335288">
    <w:abstractNumId w:val="8"/>
  </w:num>
  <w:num w:numId="8" w16cid:durableId="129178635">
    <w:abstractNumId w:val="0"/>
  </w:num>
  <w:num w:numId="9" w16cid:durableId="1393504294">
    <w:abstractNumId w:val="10"/>
  </w:num>
  <w:num w:numId="10" w16cid:durableId="525220501">
    <w:abstractNumId w:val="3"/>
  </w:num>
  <w:num w:numId="11" w16cid:durableId="433289183">
    <w:abstractNumId w:val="13"/>
  </w:num>
  <w:num w:numId="12" w16cid:durableId="1811089129">
    <w:abstractNumId w:val="9"/>
  </w:num>
  <w:num w:numId="13" w16cid:durableId="1878271256">
    <w:abstractNumId w:val="6"/>
  </w:num>
  <w:num w:numId="14" w16cid:durableId="2081710743">
    <w:abstractNumId w:val="14"/>
  </w:num>
  <w:num w:numId="15" w16cid:durableId="1482501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6E"/>
    <w:rsid w:val="000366A8"/>
    <w:rsid w:val="001B4B2F"/>
    <w:rsid w:val="001D047B"/>
    <w:rsid w:val="001F4B69"/>
    <w:rsid w:val="002217E5"/>
    <w:rsid w:val="00260A7E"/>
    <w:rsid w:val="00394FA5"/>
    <w:rsid w:val="00495AB0"/>
    <w:rsid w:val="004A3A27"/>
    <w:rsid w:val="006032A5"/>
    <w:rsid w:val="0065438C"/>
    <w:rsid w:val="00763B64"/>
    <w:rsid w:val="00842F20"/>
    <w:rsid w:val="00883150"/>
    <w:rsid w:val="008F1431"/>
    <w:rsid w:val="00963012"/>
    <w:rsid w:val="009B7378"/>
    <w:rsid w:val="009C40FF"/>
    <w:rsid w:val="009D0A35"/>
    <w:rsid w:val="009F7AC1"/>
    <w:rsid w:val="00BD507D"/>
    <w:rsid w:val="00C81DD2"/>
    <w:rsid w:val="00D316F1"/>
    <w:rsid w:val="00E15079"/>
    <w:rsid w:val="00E2146E"/>
    <w:rsid w:val="00F0566A"/>
    <w:rsid w:val="00FA4651"/>
    <w:rsid w:val="00FC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E385B"/>
  <w15:chartTrackingRefBased/>
  <w15:docId w15:val="{387D7516-9BDC-4FE9-8AA5-4A2BF6E4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F1"/>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E21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4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4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14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14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14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14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14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1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4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146E"/>
    <w:pPr>
      <w:spacing w:before="160"/>
      <w:jc w:val="center"/>
    </w:pPr>
    <w:rPr>
      <w:i/>
      <w:iCs/>
      <w:color w:val="404040" w:themeColor="text1" w:themeTint="BF"/>
    </w:rPr>
  </w:style>
  <w:style w:type="character" w:customStyle="1" w:styleId="QuoteChar">
    <w:name w:val="Quote Char"/>
    <w:basedOn w:val="DefaultParagraphFont"/>
    <w:link w:val="Quote"/>
    <w:uiPriority w:val="29"/>
    <w:rsid w:val="00E2146E"/>
    <w:rPr>
      <w:i/>
      <w:iCs/>
      <w:color w:val="404040" w:themeColor="text1" w:themeTint="BF"/>
    </w:rPr>
  </w:style>
  <w:style w:type="paragraph" w:styleId="ListParagraph">
    <w:name w:val="List Paragraph"/>
    <w:basedOn w:val="Normal"/>
    <w:uiPriority w:val="34"/>
    <w:qFormat/>
    <w:rsid w:val="00E2146E"/>
    <w:pPr>
      <w:ind w:left="720"/>
      <w:contextualSpacing/>
    </w:pPr>
  </w:style>
  <w:style w:type="character" w:styleId="IntenseEmphasis">
    <w:name w:val="Intense Emphasis"/>
    <w:basedOn w:val="DefaultParagraphFont"/>
    <w:uiPriority w:val="21"/>
    <w:qFormat/>
    <w:rsid w:val="00E2146E"/>
    <w:rPr>
      <w:i/>
      <w:iCs/>
      <w:color w:val="0F4761" w:themeColor="accent1" w:themeShade="BF"/>
    </w:rPr>
  </w:style>
  <w:style w:type="paragraph" w:styleId="IntenseQuote">
    <w:name w:val="Intense Quote"/>
    <w:basedOn w:val="Normal"/>
    <w:next w:val="Normal"/>
    <w:link w:val="IntenseQuoteChar"/>
    <w:uiPriority w:val="30"/>
    <w:qFormat/>
    <w:rsid w:val="00E21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46E"/>
    <w:rPr>
      <w:i/>
      <w:iCs/>
      <w:color w:val="0F4761" w:themeColor="accent1" w:themeShade="BF"/>
    </w:rPr>
  </w:style>
  <w:style w:type="character" w:styleId="IntenseReference">
    <w:name w:val="Intense Reference"/>
    <w:basedOn w:val="DefaultParagraphFont"/>
    <w:uiPriority w:val="32"/>
    <w:qFormat/>
    <w:rsid w:val="00E2146E"/>
    <w:rPr>
      <w:b/>
      <w:bCs/>
      <w:smallCaps/>
      <w:color w:val="0F4761" w:themeColor="accent1" w:themeShade="BF"/>
      <w:spacing w:val="5"/>
    </w:rPr>
  </w:style>
  <w:style w:type="table" w:styleId="TableGrid">
    <w:name w:val="Table Grid"/>
    <w:basedOn w:val="TableNormal"/>
    <w:uiPriority w:val="39"/>
    <w:rsid w:val="00D316F1"/>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1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6F1"/>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D31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6F1"/>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1D04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30211">
      <w:bodyDiv w:val="1"/>
      <w:marLeft w:val="0"/>
      <w:marRight w:val="0"/>
      <w:marTop w:val="0"/>
      <w:marBottom w:val="0"/>
      <w:divBdr>
        <w:top w:val="none" w:sz="0" w:space="0" w:color="auto"/>
        <w:left w:val="none" w:sz="0" w:space="0" w:color="auto"/>
        <w:bottom w:val="none" w:sz="0" w:space="0" w:color="auto"/>
        <w:right w:val="none" w:sz="0" w:space="0" w:color="auto"/>
      </w:divBdr>
    </w:div>
    <w:div w:id="778767827">
      <w:bodyDiv w:val="1"/>
      <w:marLeft w:val="0"/>
      <w:marRight w:val="0"/>
      <w:marTop w:val="0"/>
      <w:marBottom w:val="0"/>
      <w:divBdr>
        <w:top w:val="none" w:sz="0" w:space="0" w:color="auto"/>
        <w:left w:val="none" w:sz="0" w:space="0" w:color="auto"/>
        <w:bottom w:val="none" w:sz="0" w:space="0" w:color="auto"/>
        <w:right w:val="none" w:sz="0" w:space="0" w:color="auto"/>
      </w:divBdr>
      <w:divsChild>
        <w:div w:id="1937908710">
          <w:marLeft w:val="1166"/>
          <w:marRight w:val="0"/>
          <w:marTop w:val="0"/>
          <w:marBottom w:val="0"/>
          <w:divBdr>
            <w:top w:val="none" w:sz="0" w:space="0" w:color="auto"/>
            <w:left w:val="none" w:sz="0" w:space="0" w:color="auto"/>
            <w:bottom w:val="none" w:sz="0" w:space="0" w:color="auto"/>
            <w:right w:val="none" w:sz="0" w:space="0" w:color="auto"/>
          </w:divBdr>
        </w:div>
        <w:div w:id="4248197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Creative_Commons" TargetMode="External"/><Relationship Id="rId13" Type="http://schemas.openxmlformats.org/officeDocument/2006/relationships/hyperlink" Target="https://www.tsl.texas.gov/treasures/giants/seguin/seguin-01" TargetMode="External"/><Relationship Id="rId18" Type="http://schemas.openxmlformats.org/officeDocument/2006/relationships/hyperlink" Target="https://texashistory.unt.edu/ark:/67531/metapth3115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exashistory.unt.edu/" TargetMode="External"/><Relationship Id="rId12" Type="http://schemas.openxmlformats.org/officeDocument/2006/relationships/hyperlink" Target="https://www.tsl.texas.gov/mcardle/alamo/alamo74.html" TargetMode="External"/><Relationship Id="rId17" Type="http://schemas.openxmlformats.org/officeDocument/2006/relationships/hyperlink" Target="https://texashistory.unt.edu/" TargetMode="External"/><Relationship Id="rId2" Type="http://schemas.openxmlformats.org/officeDocument/2006/relationships/styles" Target="styles.xml"/><Relationship Id="rId16" Type="http://schemas.openxmlformats.org/officeDocument/2006/relationships/hyperlink" Target="https://texashistory.unt.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 TargetMode="External"/><Relationship Id="rId5" Type="http://schemas.openxmlformats.org/officeDocument/2006/relationships/footnotes" Target="footnotes.xml"/><Relationship Id="rId15" Type="http://schemas.openxmlformats.org/officeDocument/2006/relationships/hyperlink" Target="https://texashistory.unt.edu/" TargetMode="External"/><Relationship Id="rId10" Type="http://schemas.openxmlformats.org/officeDocument/2006/relationships/hyperlink" Target="https://texashistory.unt.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sa/4.0/deed.en" TargetMode="External"/><Relationship Id="rId14" Type="http://schemas.openxmlformats.org/officeDocument/2006/relationships/hyperlink" Target="https://texashistory.unt.edu/ark:/67531/metapth66196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7</Pages>
  <Words>1710</Words>
  <Characters>9890</Characters>
  <Application>Microsoft Office Word</Application>
  <DocSecurity>0</DocSecurity>
  <Lines>581</Lines>
  <Paragraphs>276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2025-03-14T16:58:00Z</dcterms:created>
  <dcterms:modified xsi:type="dcterms:W3CDTF">2025-04-08T20:48:00Z</dcterms:modified>
</cp:coreProperties>
</file>