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1458" w14:textId="44B931B8" w:rsidR="006C7339" w:rsidRDefault="006C7339" w:rsidP="006C7339">
      <w:pPr>
        <w:spacing w:after="0"/>
        <w:jc w:val="center"/>
        <w:rPr>
          <w:rStyle w:val="Strong"/>
          <w:rFonts w:ascii="Gotham Book" w:hAnsi="Gotham Book"/>
          <w:i/>
          <w:iCs/>
          <w:color w:val="747474" w:themeColor="background2" w:themeShade="80"/>
          <w:sz w:val="32"/>
          <w:szCs w:val="22"/>
        </w:rPr>
      </w:pPr>
      <w:bookmarkStart w:id="0" w:name="_Hlk185500731"/>
      <w:r>
        <w:rPr>
          <w:rStyle w:val="Strong"/>
          <w:rFonts w:ascii="Gotham Book" w:hAnsi="Gotham Book"/>
          <w:b w:val="0"/>
          <w:bCs w:val="0"/>
          <w:color w:val="000000" w:themeColor="text1"/>
          <w:sz w:val="48"/>
          <w:szCs w:val="18"/>
        </w:rPr>
        <w:t xml:space="preserve">Fundaciones de Visión Futura </w:t>
      </w:r>
    </w:p>
    <w:p w14:paraId="06526EB5" w14:textId="77777777" w:rsidR="006C7339" w:rsidRPr="008D7B34" w:rsidRDefault="006C7339" w:rsidP="006C7339">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Unidad 5: La Revolución de Texas</w:t>
      </w:r>
    </w:p>
    <w:p w14:paraId="236DB740" w14:textId="77777777" w:rsidR="006C7339" w:rsidRPr="008D7B34" w:rsidRDefault="006C7339" w:rsidP="006C7339">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6C7339" w:rsidRPr="008D7B34" w14:paraId="54D8C6B3" w14:textId="77777777" w:rsidTr="00156FCF">
        <w:trPr>
          <w:trHeight w:val="511"/>
        </w:trPr>
        <w:tc>
          <w:tcPr>
            <w:tcW w:w="1023" w:type="dxa"/>
            <w:tcBorders>
              <w:top w:val="nil"/>
              <w:left w:val="nil"/>
              <w:bottom w:val="nil"/>
              <w:right w:val="single" w:sz="4" w:space="0" w:color="auto"/>
            </w:tcBorders>
            <w:vAlign w:val="bottom"/>
          </w:tcPr>
          <w:p w14:paraId="431BCD25" w14:textId="77777777" w:rsidR="006C7339" w:rsidRPr="008D7B34" w:rsidRDefault="006C7339" w:rsidP="00156FCF">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1C99D571" w14:textId="77777777" w:rsidR="006C7339" w:rsidRPr="008D7B34" w:rsidRDefault="006C7339" w:rsidP="00156FCF">
            <w:pPr>
              <w:rPr>
                <w:rFonts w:ascii="Gotham Book" w:hAnsi="Gotham Book"/>
              </w:rPr>
            </w:pPr>
          </w:p>
        </w:tc>
        <w:tc>
          <w:tcPr>
            <w:tcW w:w="875" w:type="dxa"/>
            <w:tcBorders>
              <w:top w:val="nil"/>
              <w:left w:val="single" w:sz="4" w:space="0" w:color="auto"/>
              <w:bottom w:val="nil"/>
              <w:right w:val="single" w:sz="4" w:space="0" w:color="auto"/>
            </w:tcBorders>
            <w:vAlign w:val="bottom"/>
          </w:tcPr>
          <w:p w14:paraId="549E1116" w14:textId="77777777" w:rsidR="006C7339" w:rsidRPr="008D7B34" w:rsidRDefault="006C7339" w:rsidP="00156FCF">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4F026C4E" w14:textId="77777777" w:rsidR="006C7339" w:rsidRPr="008D7B34" w:rsidRDefault="006C7339" w:rsidP="00156FCF">
            <w:pPr>
              <w:rPr>
                <w:rFonts w:ascii="Gotham Book" w:hAnsi="Gotham Book"/>
              </w:rPr>
            </w:pPr>
          </w:p>
        </w:tc>
        <w:tc>
          <w:tcPr>
            <w:tcW w:w="1071" w:type="dxa"/>
            <w:tcBorders>
              <w:top w:val="nil"/>
              <w:left w:val="single" w:sz="4" w:space="0" w:color="auto"/>
              <w:bottom w:val="nil"/>
              <w:right w:val="single" w:sz="4" w:space="0" w:color="auto"/>
            </w:tcBorders>
            <w:vAlign w:val="bottom"/>
          </w:tcPr>
          <w:p w14:paraId="2B01DB15" w14:textId="77777777" w:rsidR="006C7339" w:rsidRPr="008D7B34" w:rsidRDefault="006C7339" w:rsidP="00156FCF">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013E79F1" w14:textId="77777777" w:rsidR="006C7339" w:rsidRPr="008D7B34" w:rsidRDefault="006C7339" w:rsidP="00156FCF">
            <w:pPr>
              <w:rPr>
                <w:rFonts w:ascii="Gotham Book" w:hAnsi="Gotham Book"/>
              </w:rPr>
            </w:pPr>
          </w:p>
        </w:tc>
      </w:tr>
    </w:tbl>
    <w:p w14:paraId="1B4BAB0E" w14:textId="77777777" w:rsidR="006C7339" w:rsidRDefault="006C7339" w:rsidP="006C7339"/>
    <w:bookmarkEnd w:id="0"/>
    <w:p w14:paraId="40EDF7DA" w14:textId="77777777" w:rsidR="006C7339" w:rsidRPr="002F4549" w:rsidRDefault="006C7339" w:rsidP="006C7339">
      <w:pPr>
        <w:spacing w:line="240" w:lineRule="auto"/>
        <w:jc w:val="center"/>
        <w:rPr>
          <w:rFonts w:ascii="Gotham Book" w:hAnsi="Gotham Book"/>
          <w:b/>
          <w:bCs/>
          <w:sz w:val="36"/>
          <w:szCs w:val="48"/>
        </w:rPr>
      </w:pPr>
      <w:r w:rsidRPr="002F4549">
        <w:rPr>
          <w:rFonts w:ascii="Gotham Book" w:hAnsi="Gotham Book"/>
          <w:b/>
          <w:bCs/>
          <w:sz w:val="36"/>
          <w:szCs w:val="48"/>
        </w:rPr>
        <w:t xml:space="preserve"> Texas es independiente... ¿Y ahora qué?</w:t>
      </w:r>
    </w:p>
    <w:p w14:paraId="044A2FC7" w14:textId="77777777" w:rsidR="006C7339" w:rsidRDefault="006C7339" w:rsidP="006C7339">
      <w:pPr>
        <w:rPr>
          <w:rFonts w:ascii="Gotham Book" w:hAnsi="Gotham Book"/>
        </w:rPr>
      </w:pPr>
      <w:r w:rsidRPr="002F4549">
        <w:rPr>
          <w:rFonts w:ascii="Gotham Book" w:hAnsi="Gotham Book"/>
        </w:rPr>
        <w:t>Los texanos lograron su independencia de México tras la Batalla de San Jacinto el 21 de abril de 1836, cuando capturaron a Santa Anna y le exigieron firmar los Tratados de Velasco. La guerra había terminado, pero en muchos sentidos el trabajo duro apenas comenzaba. Los texanos se enfrentaron a varios desafíos significativos tras la Revolución de Texas. Echemos un vistazo a algunos de estos desafíos a continuación.</w:t>
      </w:r>
    </w:p>
    <w:p w14:paraId="2D17A702" w14:textId="77777777" w:rsidR="006C7339" w:rsidRDefault="006C7339" w:rsidP="006C7339">
      <w:pPr>
        <w:rPr>
          <w:rFonts w:ascii="Gotham Book" w:hAnsi="Gotham Book"/>
        </w:rPr>
      </w:pPr>
      <w:r w:rsidRPr="00067592">
        <w:rPr>
          <w:rFonts w:ascii="Gotham Book" w:hAnsi="Gotham Book"/>
          <w:b/>
          <w:bCs/>
          <w:i/>
          <w:iCs/>
        </w:rPr>
        <w:t>Primero</w:t>
      </w:r>
      <w:r>
        <w:rPr>
          <w:rFonts w:ascii="Gotham Book" w:hAnsi="Gotham Book"/>
        </w:rPr>
        <w:t>, Santa Anna había firmado los Tratados de Velasco, pero el gobierno mexicano no reconoció realmente la independencia de Texas. El gobierno centralista en Ciudad de México argumentó que los Tratados de Velasco no eran válidos porque Santa Anna los había firmado mientras era prisionero de los texanos. En otras palabras, no los firmó voluntariamente. Para el gobierno mexicano, Texas seguía formando parte de México.</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6C7339" w14:paraId="7577217F" w14:textId="77777777" w:rsidTr="00156FCF">
        <w:trPr>
          <w:trHeight w:val="1032"/>
        </w:trPr>
        <w:tc>
          <w:tcPr>
            <w:tcW w:w="9350" w:type="dxa"/>
            <w:shd w:val="clear" w:color="auto" w:fill="F2F2F2" w:themeFill="background1" w:themeFillShade="F2"/>
            <w:vAlign w:val="center"/>
          </w:tcPr>
          <w:p w14:paraId="7F6EB6AA" w14:textId="77777777" w:rsidR="006C7339" w:rsidRDefault="006C7339" w:rsidP="00156FCF">
            <w:pPr>
              <w:spacing w:line="276" w:lineRule="auto"/>
              <w:rPr>
                <w:rFonts w:ascii="Gotham Book" w:hAnsi="Gotham Book"/>
              </w:rPr>
            </w:pPr>
            <w:r w:rsidRPr="00827F9E">
              <w:rPr>
                <w:rFonts w:ascii="Gotham Book" w:hAnsi="Gotham Book"/>
                <w:b/>
                <w:bCs/>
                <w:i/>
                <w:iCs/>
              </w:rPr>
              <w:t>Piensa en esto</w:t>
            </w:r>
            <w:r w:rsidRPr="00827F9E">
              <w:rPr>
                <w:rFonts w:ascii="Gotham Book" w:hAnsi="Gotham Book"/>
                <w:i/>
                <w:iCs/>
              </w:rPr>
              <w:t>:</w:t>
            </w:r>
            <w:r>
              <w:rPr>
                <w:rFonts w:ascii="Gotham Book" w:hAnsi="Gotham Book"/>
              </w:rPr>
              <w:t xml:space="preserve">  ¿Qué crees que podría pasar como resultado de que el gobierno centralista de Ciudad de México se niegue a reconocer la independencia de Texas? </w:t>
            </w:r>
          </w:p>
          <w:p w14:paraId="556287C6" w14:textId="77777777" w:rsidR="006C7339" w:rsidRPr="005D1AE3" w:rsidRDefault="006C7339" w:rsidP="00156FCF">
            <w:pPr>
              <w:spacing w:line="276" w:lineRule="auto"/>
              <w:rPr>
                <w:rFonts w:ascii="Gotham Book" w:hAnsi="Gotham Book"/>
                <w:sz w:val="8"/>
                <w:szCs w:val="6"/>
              </w:rPr>
            </w:pPr>
          </w:p>
          <w:p w14:paraId="3FFFA60C" w14:textId="77777777" w:rsidR="006C7339" w:rsidRPr="005D1AE3" w:rsidRDefault="006C7339" w:rsidP="00156FCF">
            <w:pPr>
              <w:spacing w:line="276" w:lineRule="auto"/>
              <w:rPr>
                <w:rFonts w:ascii="Gotham Book" w:hAnsi="Gotham Book"/>
                <w:i/>
                <w:iCs/>
              </w:rPr>
            </w:pPr>
            <w:r w:rsidRPr="005D1AE3">
              <w:rPr>
                <w:rFonts w:ascii="Gotham Book" w:hAnsi="Gotham Book"/>
                <w:i/>
                <w:iCs/>
              </w:rPr>
              <w:t>Revisa tres opciones de respuesta que creas que eran LAS MÁS probables de ocurrir.</w:t>
            </w:r>
          </w:p>
          <w:p w14:paraId="4D920282" w14:textId="77777777" w:rsidR="006C7339" w:rsidRDefault="006C7339" w:rsidP="00156FCF">
            <w:pPr>
              <w:rPr>
                <w:rFonts w:ascii="Gotham Book" w:hAnsi="Gotham Book"/>
                <w:sz w:val="8"/>
                <w:szCs w:val="6"/>
              </w:rPr>
            </w:pPr>
          </w:p>
        </w:tc>
      </w:tr>
    </w:tbl>
    <w:p w14:paraId="764CF108" w14:textId="77777777" w:rsidR="006C7339" w:rsidRPr="00827F9E" w:rsidRDefault="006C7339" w:rsidP="006C7339">
      <w:pPr>
        <w:rPr>
          <w:rFonts w:ascii="Gotham Book" w:hAnsi="Gotham Book"/>
          <w:sz w:val="8"/>
          <w:szCs w:val="6"/>
        </w:rPr>
      </w:pPr>
    </w:p>
    <w:p w14:paraId="00C7AF54" w14:textId="77777777" w:rsidR="006C7339" w:rsidRPr="006C7339" w:rsidRDefault="006C7339" w:rsidP="006C7339">
      <w:pPr>
        <w:pStyle w:val="ListParagraph"/>
        <w:numPr>
          <w:ilvl w:val="0"/>
          <w:numId w:val="2"/>
        </w:numPr>
        <w:rPr>
          <w:rFonts w:ascii="Gotham Book" w:hAnsi="Gotham Book"/>
          <w:strike/>
        </w:rPr>
      </w:pPr>
      <w:r w:rsidRPr="006C7339">
        <w:rPr>
          <w:rFonts w:ascii="Gotham Book" w:hAnsi="Gotham Book"/>
          <w:strike/>
        </w:rPr>
        <w:t>Los texanos podrían declarar la guerra a México para forzar al gobierno centralista a reconocer oficialmente la independencia de Texas.</w:t>
      </w:r>
    </w:p>
    <w:p w14:paraId="079DE0E4" w14:textId="77777777" w:rsidR="006C7339" w:rsidRDefault="006C7339" w:rsidP="006C7339">
      <w:pPr>
        <w:pStyle w:val="ListParagraph"/>
        <w:numPr>
          <w:ilvl w:val="0"/>
          <w:numId w:val="2"/>
        </w:numPr>
        <w:rPr>
          <w:rFonts w:ascii="Gotham Book" w:hAnsi="Gotham Book"/>
        </w:rPr>
      </w:pPr>
      <w:r>
        <w:rPr>
          <w:rFonts w:ascii="Gotham Book" w:hAnsi="Gotham Book"/>
        </w:rPr>
        <w:t xml:space="preserve">El gobierno mexicano podría amenazar con invadir y recuperar Texas como parte de México. </w:t>
      </w:r>
    </w:p>
    <w:p w14:paraId="4EC94739" w14:textId="77777777" w:rsidR="006C7339" w:rsidRDefault="006C7339" w:rsidP="006C7339">
      <w:pPr>
        <w:pStyle w:val="ListParagraph"/>
        <w:numPr>
          <w:ilvl w:val="0"/>
          <w:numId w:val="2"/>
        </w:numPr>
        <w:rPr>
          <w:rFonts w:ascii="Gotham Book" w:hAnsi="Gotham Book"/>
        </w:rPr>
      </w:pPr>
      <w:r>
        <w:rPr>
          <w:rFonts w:ascii="Gotham Book" w:hAnsi="Gotham Book"/>
        </w:rPr>
        <w:t>El gobierno mexicano podría negarse a comerciar o hacer negocios con el pueblo de Texas.</w:t>
      </w:r>
    </w:p>
    <w:p w14:paraId="1ABE241F" w14:textId="77777777" w:rsidR="006C7339" w:rsidRDefault="006C7339" w:rsidP="006C7339">
      <w:pPr>
        <w:pStyle w:val="ListParagraph"/>
        <w:numPr>
          <w:ilvl w:val="0"/>
          <w:numId w:val="2"/>
        </w:numPr>
        <w:rPr>
          <w:rFonts w:ascii="Gotham Book" w:hAnsi="Gotham Book"/>
        </w:rPr>
      </w:pPr>
      <w:r>
        <w:rPr>
          <w:rFonts w:ascii="Gotham Book" w:hAnsi="Gotham Book"/>
        </w:rPr>
        <w:t>El pueblo de Texas podría intentar obtener apoyo de Estados Unidos u otros países.</w:t>
      </w:r>
    </w:p>
    <w:p w14:paraId="0B7C834B" w14:textId="77777777" w:rsidR="006C7339" w:rsidRDefault="006C7339" w:rsidP="006C7339">
      <w:pPr>
        <w:pStyle w:val="ListParagraph"/>
        <w:numPr>
          <w:ilvl w:val="0"/>
          <w:numId w:val="2"/>
        </w:numPr>
        <w:rPr>
          <w:rFonts w:ascii="Gotham Book" w:hAnsi="Gotham Book"/>
        </w:rPr>
      </w:pPr>
      <w:r>
        <w:rPr>
          <w:rFonts w:ascii="Gotham Book" w:hAnsi="Gotham Book"/>
        </w:rPr>
        <w:t>Otros países podrían negarse a colaborar con Texas porque no quieren dañar sus propias relaciones políticas con México.</w:t>
      </w:r>
    </w:p>
    <w:p w14:paraId="42C59968" w14:textId="77777777" w:rsidR="006C7339" w:rsidRDefault="006C7339" w:rsidP="006C7339">
      <w:pPr>
        <w:pStyle w:val="ListParagraph"/>
        <w:numPr>
          <w:ilvl w:val="0"/>
          <w:numId w:val="2"/>
        </w:numPr>
        <w:rPr>
          <w:rFonts w:ascii="Gotham Book" w:hAnsi="Gotham Book"/>
        </w:rPr>
      </w:pPr>
      <w:r>
        <w:rPr>
          <w:rFonts w:ascii="Gotham Book" w:hAnsi="Gotham Book"/>
        </w:rPr>
        <w:t xml:space="preserve">Otros países como Estados Unidos podrían intervenir y luchar por la independencia oficial de Texas frente al gobierno centralista de México. </w:t>
      </w:r>
    </w:p>
    <w:p w14:paraId="319AF75C" w14:textId="77777777" w:rsidR="006C7339" w:rsidRPr="005D1AE3" w:rsidRDefault="006C7339" w:rsidP="006C7339">
      <w:pPr>
        <w:pStyle w:val="ListParagraph"/>
        <w:numPr>
          <w:ilvl w:val="0"/>
          <w:numId w:val="2"/>
        </w:numPr>
        <w:rPr>
          <w:rFonts w:ascii="Gotham Book" w:hAnsi="Gotham Book"/>
        </w:rPr>
      </w:pPr>
      <w:r>
        <w:rPr>
          <w:rFonts w:ascii="Gotham Book" w:hAnsi="Gotham Book"/>
        </w:rPr>
        <w:t>Otros países podrían boicotear, o negarse a hacer negocios, con México como resultado.</w:t>
      </w:r>
    </w:p>
    <w:p w14:paraId="21105054" w14:textId="77777777" w:rsidR="006C7339" w:rsidRPr="006777D3" w:rsidRDefault="006C7339" w:rsidP="006C7339">
      <w:pPr>
        <w:rPr>
          <w:rFonts w:ascii="Gotham Book" w:hAnsi="Gotham Book"/>
          <w:sz w:val="10"/>
          <w:szCs w:val="10"/>
        </w:rPr>
      </w:pPr>
    </w:p>
    <w:p w14:paraId="09E65A12" w14:textId="77777777" w:rsidR="006C7339" w:rsidRDefault="006C7339" w:rsidP="006C7339">
      <w:pPr>
        <w:rPr>
          <w:rFonts w:ascii="Gotham Book" w:hAnsi="Gotham Book"/>
        </w:rPr>
      </w:pPr>
      <w:r w:rsidRPr="00067592">
        <w:rPr>
          <w:rFonts w:ascii="Gotham Book" w:hAnsi="Gotham Book"/>
          <w:b/>
          <w:bCs/>
          <w:i/>
          <w:iCs/>
        </w:rPr>
        <w:lastRenderedPageBreak/>
        <w:t xml:space="preserve">En segundo </w:t>
      </w:r>
      <w:r>
        <w:rPr>
          <w:rFonts w:ascii="Gotham Book" w:hAnsi="Gotham Book"/>
        </w:rPr>
        <w:t xml:space="preserve">lugar, los texanos habían pedido mucho dinero prestado para pagar la Revolución de Texas, principalmente a comerciantes adinerados de Nueva Orleans. Tras la guerra, Texas tenía una deuda de unos 1,25 millones de dólares. ¡Hoy en día, eso sería más de 42 millones de dólares! Tras la guerra, Texas tuvo dificultades para devolver ese dinero. </w:t>
      </w:r>
    </w:p>
    <w:p w14:paraId="651A16D0" w14:textId="77777777" w:rsidR="006C7339" w:rsidRDefault="006C7339" w:rsidP="006C7339">
      <w:pPr>
        <w:rPr>
          <w:rFonts w:ascii="Gotham Book" w:hAnsi="Gotham Book"/>
        </w:rPr>
      </w:pPr>
      <w:r w:rsidRPr="00067592">
        <w:rPr>
          <w:rFonts w:ascii="Gotham Book" w:hAnsi="Gotham Book"/>
          <w:b/>
          <w:bCs/>
          <w:i/>
          <w:iCs/>
        </w:rPr>
        <w:t>Tercero</w:t>
      </w:r>
      <w:r>
        <w:rPr>
          <w:rFonts w:ascii="Gotham Book" w:hAnsi="Gotham Book"/>
        </w:rPr>
        <w:t>, la guerra había destruido tierras, viviendas y propiedades en Texas. Cuando la gente huía del ejército centralista que se acercaba durante el Runaway Scrape, a menudo destruían cosas que podían ser valiosas para las tropas de Santa Anna. Esto incluso incluía ciudades enteras, como San Felipe de Austin. Como resultado, muchas familias texanas perdieron todo lo que poseían durante la guerra. Tras la guerra, los texanos tuvieron que comenzar el arduo trabajo de reconstruir sus hogares y comunidades.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6C7339" w14:paraId="15A1BDC4" w14:textId="77777777" w:rsidTr="00156FCF">
        <w:trPr>
          <w:trHeight w:val="1115"/>
        </w:trPr>
        <w:tc>
          <w:tcPr>
            <w:tcW w:w="9350" w:type="dxa"/>
            <w:shd w:val="clear" w:color="auto" w:fill="F2F2F2" w:themeFill="background1" w:themeFillShade="F2"/>
            <w:vAlign w:val="center"/>
          </w:tcPr>
          <w:p w14:paraId="34EA2532" w14:textId="77777777" w:rsidR="006C7339" w:rsidRDefault="006C7339" w:rsidP="00156FCF">
            <w:pPr>
              <w:spacing w:line="276" w:lineRule="auto"/>
              <w:rPr>
                <w:rFonts w:ascii="Gotham Book" w:hAnsi="Gotham Book"/>
              </w:rPr>
            </w:pPr>
            <w:r w:rsidRPr="00827F9E">
              <w:rPr>
                <w:rFonts w:ascii="Gotham Book" w:hAnsi="Gotham Book"/>
                <w:b/>
                <w:bCs/>
                <w:i/>
                <w:iCs/>
              </w:rPr>
              <w:t>Piensa en esto:</w:t>
            </w:r>
            <w:r>
              <w:rPr>
                <w:rFonts w:ascii="Gotham Book" w:hAnsi="Gotham Book"/>
              </w:rPr>
              <w:t xml:space="preserve"> ¿Cómo suelen recaudar los gobiernos fondos para cubrir sus gastos? ¿Qué desafíos cree que enfrentaría el gobierno de Texas intentando reunir el dinero para pagar su deuda de guerra? </w:t>
            </w:r>
          </w:p>
        </w:tc>
      </w:tr>
    </w:tbl>
    <w:p w14:paraId="78F9D06E" w14:textId="77777777" w:rsidR="006C7339" w:rsidRPr="00D25EAE" w:rsidRDefault="006C7339" w:rsidP="006C7339">
      <w:pPr>
        <w:rPr>
          <w:rFonts w:ascii="Gotham Book" w:hAnsi="Gotham Book"/>
          <w:sz w:val="8"/>
          <w:szCs w:val="6"/>
        </w:rPr>
      </w:pPr>
    </w:p>
    <w:tbl>
      <w:tblPr>
        <w:tblStyle w:val="TableGrid"/>
        <w:tblW w:w="0" w:type="auto"/>
        <w:tblLook w:val="04A0" w:firstRow="1" w:lastRow="0" w:firstColumn="1" w:lastColumn="0" w:noHBand="0" w:noVBand="1"/>
      </w:tblPr>
      <w:tblGrid>
        <w:gridCol w:w="9350"/>
      </w:tblGrid>
      <w:tr w:rsidR="006C7339" w14:paraId="37AD7E09" w14:textId="77777777" w:rsidTr="00C1724D">
        <w:trPr>
          <w:trHeight w:val="2186"/>
        </w:trPr>
        <w:tc>
          <w:tcPr>
            <w:tcW w:w="9350" w:type="dxa"/>
          </w:tcPr>
          <w:p w14:paraId="22BE1010" w14:textId="77777777" w:rsidR="006C7339" w:rsidRPr="006C7339" w:rsidRDefault="006C7339" w:rsidP="00156FCF">
            <w:pPr>
              <w:rPr>
                <w:rFonts w:ascii="Gotham Book" w:hAnsi="Gotham Book"/>
                <w:sz w:val="12"/>
                <w:szCs w:val="12"/>
              </w:rPr>
            </w:pPr>
          </w:p>
          <w:p w14:paraId="707AF247" w14:textId="447A19B4" w:rsidR="006C7339" w:rsidRPr="006C7339" w:rsidRDefault="006C7339" w:rsidP="00156FCF">
            <w:pPr>
              <w:spacing w:line="360" w:lineRule="auto"/>
              <w:rPr>
                <w:rFonts w:ascii="Gotham Book" w:hAnsi="Gotham Book"/>
              </w:rPr>
            </w:pPr>
            <w:r w:rsidRPr="006C7339">
              <w:rPr>
                <w:rFonts w:ascii="Gotham Book" w:hAnsi="Gotham Book"/>
              </w:rPr>
              <w:t xml:space="preserve">Los gobiernos suelen recaudar dinero </w:t>
            </w:r>
            <w:r w:rsidRPr="006C7339">
              <w:rPr>
                <w:rFonts w:ascii="Gotham Book" w:hAnsi="Gotham Book"/>
                <w:b/>
                <w:bCs/>
                <w:i/>
                <w:iCs/>
              </w:rPr>
              <w:t xml:space="preserve">(A) aprobando </w:t>
            </w:r>
            <w:r w:rsidRPr="006C7339">
              <w:rPr>
                <w:rFonts w:ascii="Gotham Book" w:hAnsi="Gotham Book"/>
                <w:u w:val="single"/>
              </w:rPr>
              <w:t xml:space="preserve">impuestos que pagan sus ciudadanos </w:t>
            </w:r>
            <w:r w:rsidRPr="006C7339">
              <w:rPr>
                <w:rFonts w:ascii="Gotham Book" w:hAnsi="Gotham Book"/>
                <w:b/>
                <w:bCs/>
                <w:i/>
                <w:iCs/>
              </w:rPr>
              <w:t xml:space="preserve">, (B) </w:t>
            </w:r>
            <w:r w:rsidRPr="006C7339">
              <w:rPr>
                <w:rFonts w:ascii="Gotham Book" w:hAnsi="Gotham Book"/>
                <w:u w:val="single"/>
              </w:rPr>
              <w:t xml:space="preserve">confiscando propiedades de países vecinos </w:t>
            </w:r>
            <w:r w:rsidRPr="006C7339">
              <w:rPr>
                <w:rFonts w:ascii="Gotham Book" w:hAnsi="Gotham Book"/>
                <w:b/>
                <w:bCs/>
                <w:i/>
                <w:iCs/>
              </w:rPr>
              <w:t xml:space="preserve">, (C) </w:t>
            </w:r>
            <w:r>
              <w:rPr>
                <w:rFonts w:ascii="Gotham Book" w:hAnsi="Gotham Book"/>
                <w:u w:val="single"/>
              </w:rPr>
              <w:t>imprimiendo dinero adicional según sea necesario.</w:t>
            </w:r>
            <w:r w:rsidRPr="006C7339">
              <w:rPr>
                <w:rFonts w:ascii="Gotham Book" w:hAnsi="Gotham Book"/>
              </w:rPr>
              <w:t xml:space="preserve"> Uno de los retos que el gobierno de Texas podría haber enfrentado al intentar saldar su deuda de guerra era ______ ____________________________________________________________________________________________________</w:t>
            </w:r>
          </w:p>
        </w:tc>
      </w:tr>
    </w:tbl>
    <w:p w14:paraId="15C8FD02" w14:textId="77777777" w:rsidR="006C7339" w:rsidRPr="00D25EAE" w:rsidRDefault="006C7339" w:rsidP="006C7339">
      <w:pPr>
        <w:rPr>
          <w:rFonts w:ascii="Gotham Book" w:hAnsi="Gotham Book"/>
          <w:sz w:val="8"/>
          <w:szCs w:val="8"/>
        </w:rPr>
      </w:pPr>
    </w:p>
    <w:p w14:paraId="5A9EF21E" w14:textId="77777777" w:rsidR="006C7339" w:rsidRDefault="006C7339" w:rsidP="006C7339">
      <w:pPr>
        <w:rPr>
          <w:rFonts w:ascii="Gotham Book" w:hAnsi="Gotham Book"/>
        </w:rPr>
      </w:pPr>
      <w:r w:rsidRPr="00067592">
        <w:rPr>
          <w:rFonts w:ascii="Gotham Book" w:hAnsi="Gotham Book"/>
          <w:b/>
          <w:bCs/>
          <w:i/>
          <w:iCs/>
        </w:rPr>
        <w:t>Cuarto</w:t>
      </w:r>
      <w:r>
        <w:rPr>
          <w:rFonts w:ascii="Gotham Book" w:hAnsi="Gotham Book"/>
        </w:rPr>
        <w:t xml:space="preserve">, México no fue el único país que se negó a reconocer la independencia de Texas. De hecho, ningún otro país del mundo reconoció a Texas como una nación independiente al principio. Estados Unidos reconoció la independencia de Texas en 1837. Un puñado de otros países reconocieron la independencia de Texas en 1845, pero la mayoría de los países del mundo nunca lo hicieron.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6C7339" w14:paraId="134C43B2" w14:textId="77777777" w:rsidTr="00156FCF">
        <w:trPr>
          <w:trHeight w:val="674"/>
        </w:trPr>
        <w:tc>
          <w:tcPr>
            <w:tcW w:w="9350" w:type="dxa"/>
            <w:shd w:val="clear" w:color="auto" w:fill="F2F2F2" w:themeFill="background1" w:themeFillShade="F2"/>
            <w:vAlign w:val="center"/>
          </w:tcPr>
          <w:p w14:paraId="1EBB522D" w14:textId="77777777" w:rsidR="006C7339" w:rsidRPr="006F603A" w:rsidRDefault="006C7339" w:rsidP="00156FCF">
            <w:pPr>
              <w:spacing w:line="276" w:lineRule="auto"/>
              <w:rPr>
                <w:rFonts w:ascii="Gotham Book" w:hAnsi="Gotham Book"/>
                <w:i/>
                <w:iCs/>
              </w:rPr>
            </w:pPr>
            <w:r w:rsidRPr="008D10B4">
              <w:rPr>
                <w:rFonts w:ascii="Gotham Book" w:hAnsi="Gotham Book"/>
                <w:b/>
                <w:bCs/>
                <w:i/>
                <w:iCs/>
              </w:rPr>
              <w:t>Considera esto:</w:t>
            </w:r>
            <w:r>
              <w:rPr>
                <w:rFonts w:ascii="Gotham Book" w:hAnsi="Gotham Book"/>
              </w:rPr>
              <w:t xml:space="preserve"> ¿Por qué crees que la mayoría de los otros países nunca reconocieron la independencia de Texas? </w:t>
            </w:r>
            <w:r>
              <w:rPr>
                <w:rFonts w:ascii="Gotham Book" w:hAnsi="Gotham Book"/>
                <w:i/>
                <w:iCs/>
              </w:rPr>
              <w:t xml:space="preserve">Revisa LOS DOS que creas que son más probables de ser ciertos. </w:t>
            </w:r>
          </w:p>
        </w:tc>
      </w:tr>
    </w:tbl>
    <w:p w14:paraId="6FCDB1BE" w14:textId="77777777" w:rsidR="006C7339" w:rsidRPr="008D10B4" w:rsidRDefault="006C7339" w:rsidP="006C7339">
      <w:pPr>
        <w:rPr>
          <w:rFonts w:ascii="Gotham Book" w:hAnsi="Gotham Book"/>
          <w:sz w:val="4"/>
          <w:szCs w:val="4"/>
        </w:rPr>
      </w:pPr>
    </w:p>
    <w:p w14:paraId="4128BB10" w14:textId="77777777" w:rsidR="006C7339" w:rsidRDefault="006C7339" w:rsidP="006C7339">
      <w:pPr>
        <w:pStyle w:val="ListParagraph"/>
        <w:numPr>
          <w:ilvl w:val="0"/>
          <w:numId w:val="3"/>
        </w:numPr>
        <w:rPr>
          <w:rFonts w:ascii="Gotham Book" w:hAnsi="Gotham Book"/>
        </w:rPr>
      </w:pPr>
      <w:r>
        <w:rPr>
          <w:rFonts w:ascii="Gotham Book" w:hAnsi="Gotham Book"/>
        </w:rPr>
        <w:t>Texas no era lo suficientemente grande ni lo bastante importante como para que otros países lo reconocieran.</w:t>
      </w:r>
    </w:p>
    <w:p w14:paraId="529D2429" w14:textId="77777777" w:rsidR="006C7339" w:rsidRDefault="006C7339" w:rsidP="006C7339">
      <w:pPr>
        <w:pStyle w:val="ListParagraph"/>
        <w:numPr>
          <w:ilvl w:val="0"/>
          <w:numId w:val="3"/>
        </w:numPr>
        <w:rPr>
          <w:rFonts w:ascii="Gotham Book" w:hAnsi="Gotham Book"/>
        </w:rPr>
      </w:pPr>
      <w:r>
        <w:rPr>
          <w:rFonts w:ascii="Gotham Book" w:hAnsi="Gotham Book"/>
        </w:rPr>
        <w:t xml:space="preserve">La economía de Texas no produjo nada de valor que interesara a otros países. </w:t>
      </w:r>
    </w:p>
    <w:p w14:paraId="71812071" w14:textId="77777777" w:rsidR="006C7339" w:rsidRDefault="006C7339" w:rsidP="006C7339">
      <w:pPr>
        <w:pStyle w:val="ListParagraph"/>
        <w:numPr>
          <w:ilvl w:val="0"/>
          <w:numId w:val="3"/>
        </w:numPr>
        <w:rPr>
          <w:rFonts w:ascii="Gotham Book" w:hAnsi="Gotham Book"/>
        </w:rPr>
      </w:pPr>
      <w:r>
        <w:rPr>
          <w:rFonts w:ascii="Gotham Book" w:hAnsi="Gotham Book"/>
        </w:rPr>
        <w:t>Muchos países no apoyaban el sistema de trabajo esclavo que existía en Texas.</w:t>
      </w:r>
    </w:p>
    <w:p w14:paraId="01C6904E" w14:textId="77777777" w:rsidR="006C7339" w:rsidRDefault="006C7339" w:rsidP="006C7339">
      <w:pPr>
        <w:pStyle w:val="ListParagraph"/>
        <w:numPr>
          <w:ilvl w:val="0"/>
          <w:numId w:val="3"/>
        </w:numPr>
        <w:rPr>
          <w:rFonts w:ascii="Gotham Book" w:hAnsi="Gotham Book"/>
        </w:rPr>
      </w:pPr>
      <w:r>
        <w:rPr>
          <w:rFonts w:ascii="Gotham Book" w:hAnsi="Gotham Book"/>
        </w:rPr>
        <w:t xml:space="preserve">Algunos países no querían dañar su relación con México reconociendo a Texas como independiente. </w:t>
      </w:r>
    </w:p>
    <w:p w14:paraId="399AC08D" w14:textId="77777777" w:rsidR="006C7339" w:rsidRDefault="006C7339" w:rsidP="006C7339">
      <w:pPr>
        <w:pStyle w:val="ListParagraph"/>
        <w:numPr>
          <w:ilvl w:val="0"/>
          <w:numId w:val="3"/>
        </w:numPr>
        <w:rPr>
          <w:rFonts w:ascii="Gotham Book" w:hAnsi="Gotham Book"/>
          <w:strike/>
        </w:rPr>
      </w:pPr>
      <w:r w:rsidRPr="00D0382E">
        <w:rPr>
          <w:rFonts w:ascii="Gotham Book" w:hAnsi="Gotham Book"/>
          <w:strike/>
        </w:rPr>
        <w:t xml:space="preserve">El gobierno de Texas nunca logró establecer relaciones diplomáticas con otras naciones significativas. </w:t>
      </w:r>
    </w:p>
    <w:p w14:paraId="71BD60A0" w14:textId="77777777" w:rsidR="002761C2" w:rsidRPr="00D0382E" w:rsidRDefault="002761C2" w:rsidP="002761C2">
      <w:pPr>
        <w:pStyle w:val="ListParagraph"/>
        <w:rPr>
          <w:rFonts w:ascii="Gotham Book" w:hAnsi="Gotham Book"/>
          <w:strike/>
        </w:rPr>
      </w:pPr>
    </w:p>
    <w:p w14:paraId="00D9AE41" w14:textId="77777777" w:rsidR="006C7339" w:rsidRDefault="006C7339" w:rsidP="006C7339">
      <w:pPr>
        <w:jc w:val="center"/>
        <w:rPr>
          <w:rFonts w:ascii="Gotham Book" w:hAnsi="Gotham Book"/>
          <w:b/>
          <w:bCs/>
          <w:sz w:val="36"/>
          <w:szCs w:val="48"/>
        </w:rPr>
      </w:pPr>
      <w:r>
        <w:rPr>
          <w:rFonts w:ascii="Gotham Book" w:hAnsi="Gotham Book"/>
          <w:b/>
          <w:bCs/>
          <w:sz w:val="36"/>
          <w:szCs w:val="48"/>
        </w:rPr>
        <w:t>Abordando los desafíos en Texas</w:t>
      </w:r>
    </w:p>
    <w:p w14:paraId="39FEB39A" w14:textId="6162715B" w:rsidR="006C7339" w:rsidRDefault="006C7339" w:rsidP="006C7339">
      <w:pPr>
        <w:rPr>
          <w:rFonts w:ascii="Gotham Book" w:hAnsi="Gotham Book"/>
        </w:rPr>
      </w:pPr>
      <w:r>
        <w:rPr>
          <w:rFonts w:ascii="Gotham Book" w:hAnsi="Gotham Book"/>
        </w:rPr>
        <w:t xml:space="preserve">El gobierno de Texas no tenía muchas buenas opciones para afrontar los desafíos que enfrentó tras la Revolución de Texas. Una posible opción era la anexión de Texas a los Estados Unidos de América. Esto significa que Texas se uniría a Estados Unidos como un nuevo estado dentro de la unión. El gobierno de Texas celebró una votación en septiembre de 1836 para determinar si el pueblo de Texas apoyaba o se oponía a la anexión a Estados Unidos. </w:t>
      </w:r>
    </w:p>
    <w:p w14:paraId="7B3CF96E" w14:textId="77777777" w:rsidR="006C7339" w:rsidRDefault="006C7339" w:rsidP="006C7339">
      <w:pPr>
        <w:rPr>
          <w:rFonts w:ascii="Gotham Book" w:hAnsi="Gotham Book"/>
        </w:rPr>
      </w:pPr>
      <w:r>
        <w:rPr>
          <w:rFonts w:ascii="Gotham Book" w:hAnsi="Gotham Book"/>
        </w:rPr>
        <w:t xml:space="preserve">Lee el siguiente extracto del  periódico </w:t>
      </w:r>
      <w:r>
        <w:rPr>
          <w:rFonts w:ascii="Gotham Book" w:hAnsi="Gotham Book"/>
          <w:i/>
          <w:iCs/>
        </w:rPr>
        <w:t>Telegraph and Texas Register</w:t>
      </w:r>
      <w:r>
        <w:rPr>
          <w:rFonts w:ascii="Gotham Book" w:hAnsi="Gotham Book"/>
        </w:rPr>
        <w:t xml:space="preserve"> del 9 de noviembre de 1836 sobre la votación a favor de la anexión. Luego responde a las preguntas que siguen.</w:t>
      </w:r>
    </w:p>
    <w:tbl>
      <w:tblPr>
        <w:tblStyle w:val="TableGrid"/>
        <w:tblW w:w="0" w:type="auto"/>
        <w:tblLook w:val="04A0" w:firstRow="1" w:lastRow="0" w:firstColumn="1" w:lastColumn="0" w:noHBand="0" w:noVBand="1"/>
      </w:tblPr>
      <w:tblGrid>
        <w:gridCol w:w="6565"/>
        <w:gridCol w:w="2785"/>
      </w:tblGrid>
      <w:tr w:rsidR="006C7339" w14:paraId="7F481854" w14:textId="77777777" w:rsidTr="00156FCF">
        <w:trPr>
          <w:trHeight w:val="3005"/>
        </w:trPr>
        <w:tc>
          <w:tcPr>
            <w:tcW w:w="6565" w:type="dxa"/>
            <w:vAlign w:val="center"/>
          </w:tcPr>
          <w:p w14:paraId="6D39D823" w14:textId="77777777" w:rsidR="006C7339" w:rsidRPr="006F603A" w:rsidRDefault="006C7339" w:rsidP="00156FCF">
            <w:pPr>
              <w:spacing w:line="276" w:lineRule="auto"/>
              <w:rPr>
                <w:rFonts w:ascii="Avenir Next LT Pro Light" w:hAnsi="Avenir Next LT Pro Light"/>
              </w:rPr>
            </w:pPr>
            <w:r w:rsidRPr="006F603A">
              <w:rPr>
                <w:rFonts w:ascii="Avenir Next LT Pro Light" w:hAnsi="Avenir Next LT Pro Light"/>
              </w:rPr>
              <w:t xml:space="preserve">"En las elecciones que se han celebrado recientemente, </w:t>
            </w:r>
            <w:r w:rsidRPr="00887B01">
              <w:rPr>
                <w:rFonts w:ascii="Avenir Next LT Pro Light" w:hAnsi="Avenir Next LT Pro Light"/>
                <w:b/>
                <w:bCs/>
                <w:i/>
                <w:iCs/>
              </w:rPr>
              <w:t>(A)</w:t>
            </w:r>
            <w:r w:rsidRPr="006F603A">
              <w:rPr>
                <w:rFonts w:ascii="Avenir Next LT Pro Light" w:hAnsi="Avenir Next LT Pro Light"/>
                <w:u w:val="single"/>
              </w:rPr>
              <w:t xml:space="preserve"> el importante tema de la anexión a los Estados Unidos de América fue sometido a la consideración del pueblo.  </w:t>
            </w:r>
            <w:r w:rsidRPr="00887B01">
              <w:rPr>
                <w:rFonts w:ascii="Avenir Next LT Pro Light" w:hAnsi="Avenir Next LT Pro Light"/>
                <w:b/>
                <w:bCs/>
                <w:i/>
                <w:iCs/>
              </w:rPr>
              <w:t xml:space="preserve">(B) </w:t>
            </w:r>
            <w:r w:rsidRPr="00887B01">
              <w:rPr>
                <w:rFonts w:ascii="Avenir Next LT Pro Light" w:hAnsi="Avenir Next LT Pro Light"/>
                <w:u w:val="single"/>
              </w:rPr>
              <w:t xml:space="preserve">Han expresado sus sentimientos y deseos sobre ese </w:t>
            </w:r>
            <w:r w:rsidRPr="00887B01">
              <w:rPr>
                <w:rFonts w:ascii="Avenir Next LT Pro Light" w:hAnsi="Avenir Next LT Pro Light"/>
                <w:b/>
                <w:bCs/>
                <w:u w:val="single"/>
              </w:rPr>
              <w:t>tema trascendental</w:t>
            </w:r>
            <w:r w:rsidRPr="006F603A">
              <w:rPr>
                <w:rFonts w:ascii="Avenir Next LT Pro Light" w:hAnsi="Avenir Next LT Pro Light"/>
              </w:rPr>
              <w:t xml:space="preserve">. </w:t>
            </w:r>
            <w:r>
              <w:rPr>
                <w:rFonts w:ascii="Avenir Next LT Pro Light" w:hAnsi="Avenir Next LT Pro Light"/>
                <w:b/>
                <w:bCs/>
                <w:i/>
                <w:iCs/>
              </w:rPr>
              <w:t xml:space="preserve">(C) </w:t>
            </w:r>
            <w:r w:rsidRPr="00887B01">
              <w:rPr>
                <w:rFonts w:ascii="Avenir Next LT Pro Light" w:hAnsi="Avenir Next LT Pro Light"/>
                <w:u w:val="single"/>
              </w:rPr>
              <w:t xml:space="preserve">Han declarado con una </w:t>
            </w:r>
            <w:r w:rsidRPr="00887B01">
              <w:rPr>
                <w:rFonts w:ascii="Avenir Next LT Pro Light" w:hAnsi="Avenir Next LT Pro Light"/>
                <w:b/>
                <w:bCs/>
                <w:u w:val="single"/>
              </w:rPr>
              <w:t>unanimidad sin precedentes</w:t>
            </w:r>
            <w:r w:rsidRPr="00887B01">
              <w:rPr>
                <w:rFonts w:ascii="Avenir Next LT Pro Light" w:hAnsi="Avenir Next LT Pro Light"/>
                <w:u w:val="single"/>
              </w:rPr>
              <w:t xml:space="preserve"> que se reunirán con la gran familia republicana del Norte</w:t>
            </w:r>
            <w:r w:rsidRPr="006F603A">
              <w:rPr>
                <w:rFonts w:ascii="Avenir Next LT Pro Light" w:hAnsi="Avenir Next LT Pro Light"/>
              </w:rPr>
              <w:t xml:space="preserve">. </w:t>
            </w:r>
            <w:r w:rsidRPr="00887B01">
              <w:rPr>
                <w:rFonts w:ascii="Avenir Next LT Pro Light" w:hAnsi="Avenir Next LT Pro Light"/>
                <w:b/>
                <w:bCs/>
                <w:i/>
                <w:iCs/>
              </w:rPr>
              <w:t xml:space="preserve">(D) </w:t>
            </w:r>
            <w:r w:rsidRPr="00887B01">
              <w:rPr>
                <w:rFonts w:ascii="Avenir Next LT Pro Light" w:hAnsi="Avenir Next LT Pro Light"/>
                <w:u w:val="single"/>
              </w:rPr>
              <w:t xml:space="preserve">El </w:t>
            </w:r>
            <w:r w:rsidRPr="00887B01">
              <w:rPr>
                <w:rFonts w:ascii="Avenir Next LT Pro Light" w:hAnsi="Avenir Next LT Pro Light"/>
                <w:b/>
                <w:bCs/>
                <w:u w:val="single"/>
              </w:rPr>
              <w:t>llamamiento</w:t>
            </w:r>
            <w:r w:rsidRPr="00887B01">
              <w:rPr>
                <w:rFonts w:ascii="Avenir Next LT Pro Light" w:hAnsi="Avenir Next LT Pro Light"/>
                <w:u w:val="single"/>
              </w:rPr>
              <w:t xml:space="preserve"> lo hace un pueblo dispuesto. </w:t>
            </w:r>
            <w:r w:rsidRPr="006F603A">
              <w:rPr>
                <w:rFonts w:ascii="Avenir Next LT Pro Light" w:hAnsi="Avenir Next LT Pro Light"/>
              </w:rPr>
              <w:t xml:space="preserve">.... Nos anima la esperanza de que nos reciban como participantes de sus derechos civiles, políticos y religiosos y  nos </w:t>
            </w:r>
            <w:r w:rsidRPr="006F603A">
              <w:rPr>
                <w:rFonts w:ascii="Avenir Next LT Pro Light" w:hAnsi="Avenir Next LT Pro Light"/>
                <w:b/>
                <w:bCs/>
              </w:rPr>
              <w:t>saluden</w:t>
            </w:r>
            <w:r w:rsidRPr="006F603A">
              <w:rPr>
                <w:rFonts w:ascii="Avenir Next LT Pro Light" w:hAnsi="Avenir Next LT Pro Light"/>
              </w:rPr>
              <w:t xml:space="preserve"> con la bienvenida  , en la gran familia de hombres libres."</w:t>
            </w:r>
          </w:p>
        </w:tc>
        <w:tc>
          <w:tcPr>
            <w:tcW w:w="2785" w:type="dxa"/>
          </w:tcPr>
          <w:p w14:paraId="5F259533" w14:textId="77777777" w:rsidR="006C7339" w:rsidRDefault="006C7339" w:rsidP="00156FCF">
            <w:pPr>
              <w:spacing w:line="276" w:lineRule="auto"/>
              <w:rPr>
                <w:rFonts w:ascii="Gotham Book" w:hAnsi="Gotham Book"/>
                <w:sz w:val="20"/>
                <w:szCs w:val="20"/>
              </w:rPr>
            </w:pPr>
            <w:r w:rsidRPr="006F603A">
              <w:rPr>
                <w:rFonts w:ascii="Gotham Book" w:hAnsi="Gotham Book"/>
                <w:b/>
                <w:bCs/>
                <w:sz w:val="20"/>
                <w:szCs w:val="20"/>
              </w:rPr>
              <w:t>Sucedió</w:t>
            </w:r>
            <w:r>
              <w:rPr>
                <w:rFonts w:ascii="Gotham Book" w:hAnsi="Gotham Book"/>
                <w:sz w:val="20"/>
                <w:szCs w:val="20"/>
              </w:rPr>
              <w:t>: ocurrió, pasó.</w:t>
            </w:r>
          </w:p>
          <w:p w14:paraId="3FD9A151" w14:textId="77777777" w:rsidR="006C7339" w:rsidRDefault="006C7339" w:rsidP="00156FCF">
            <w:pPr>
              <w:spacing w:line="276" w:lineRule="auto"/>
              <w:rPr>
                <w:rFonts w:ascii="Gotham Book" w:hAnsi="Gotham Book"/>
                <w:sz w:val="20"/>
                <w:szCs w:val="20"/>
              </w:rPr>
            </w:pPr>
          </w:p>
          <w:p w14:paraId="1B0E6776" w14:textId="77777777" w:rsidR="006C7339" w:rsidRDefault="006C7339" w:rsidP="00156FCF">
            <w:pPr>
              <w:spacing w:line="276" w:lineRule="auto"/>
              <w:rPr>
                <w:rFonts w:ascii="Gotham Book" w:hAnsi="Gotham Book"/>
                <w:sz w:val="20"/>
                <w:szCs w:val="20"/>
              </w:rPr>
            </w:pPr>
          </w:p>
          <w:p w14:paraId="12A3D4D7" w14:textId="77777777" w:rsidR="006C7339" w:rsidRDefault="006C7339" w:rsidP="00156FCF">
            <w:pPr>
              <w:spacing w:line="276" w:lineRule="auto"/>
              <w:rPr>
                <w:rFonts w:ascii="Gotham Book" w:hAnsi="Gotham Book"/>
                <w:sz w:val="20"/>
                <w:szCs w:val="20"/>
              </w:rPr>
            </w:pPr>
            <w:r w:rsidRPr="006F603A">
              <w:rPr>
                <w:rFonts w:ascii="Gotham Book" w:hAnsi="Gotham Book"/>
                <w:b/>
                <w:bCs/>
                <w:sz w:val="20"/>
                <w:szCs w:val="20"/>
              </w:rPr>
              <w:t>Trascendental</w:t>
            </w:r>
            <w:r>
              <w:rPr>
                <w:rFonts w:ascii="Gotham Book" w:hAnsi="Gotham Book"/>
                <w:sz w:val="20"/>
                <w:szCs w:val="20"/>
              </w:rPr>
              <w:t>: Significativo, importante</w:t>
            </w:r>
          </w:p>
          <w:p w14:paraId="3228EDB6" w14:textId="77777777" w:rsidR="006C7339" w:rsidRPr="006F603A" w:rsidRDefault="006C7339" w:rsidP="00156FCF">
            <w:pPr>
              <w:spacing w:line="276" w:lineRule="auto"/>
              <w:rPr>
                <w:rFonts w:ascii="Gotham Book" w:hAnsi="Gotham Book"/>
                <w:sz w:val="8"/>
                <w:szCs w:val="6"/>
              </w:rPr>
            </w:pPr>
          </w:p>
          <w:p w14:paraId="67341C08" w14:textId="77777777" w:rsidR="006C7339" w:rsidRDefault="006C7339" w:rsidP="00156FCF">
            <w:pPr>
              <w:spacing w:line="276" w:lineRule="auto"/>
              <w:rPr>
                <w:rFonts w:ascii="Gotham Book" w:hAnsi="Gotham Book"/>
                <w:sz w:val="20"/>
                <w:szCs w:val="20"/>
              </w:rPr>
            </w:pPr>
            <w:r w:rsidRPr="006F603A">
              <w:rPr>
                <w:rFonts w:ascii="Gotham Book" w:hAnsi="Gotham Book"/>
                <w:b/>
                <w:bCs/>
                <w:sz w:val="20"/>
                <w:szCs w:val="20"/>
              </w:rPr>
              <w:t>Unanimidad</w:t>
            </w:r>
            <w:r>
              <w:rPr>
                <w:rFonts w:ascii="Gotham Book" w:hAnsi="Gotham Book"/>
                <w:sz w:val="20"/>
                <w:szCs w:val="20"/>
              </w:rPr>
              <w:t>: Acuerdo total</w:t>
            </w:r>
          </w:p>
          <w:p w14:paraId="55245298" w14:textId="77777777" w:rsidR="006C7339" w:rsidRPr="006F603A" w:rsidRDefault="006C7339" w:rsidP="00156FCF">
            <w:pPr>
              <w:spacing w:line="276" w:lineRule="auto"/>
              <w:rPr>
                <w:rFonts w:ascii="Gotham Book" w:hAnsi="Gotham Book"/>
                <w:sz w:val="10"/>
                <w:szCs w:val="10"/>
              </w:rPr>
            </w:pPr>
          </w:p>
          <w:p w14:paraId="6D817C70" w14:textId="77777777" w:rsidR="006C7339" w:rsidRDefault="006C7339" w:rsidP="00156FCF">
            <w:pPr>
              <w:spacing w:line="276" w:lineRule="auto"/>
              <w:rPr>
                <w:rFonts w:ascii="Gotham Book" w:hAnsi="Gotham Book"/>
                <w:sz w:val="20"/>
                <w:szCs w:val="20"/>
              </w:rPr>
            </w:pPr>
            <w:r w:rsidRPr="006F603A">
              <w:rPr>
                <w:rFonts w:ascii="Gotham Book" w:hAnsi="Gotham Book"/>
                <w:b/>
                <w:bCs/>
                <w:sz w:val="20"/>
                <w:szCs w:val="20"/>
              </w:rPr>
              <w:t>Sin igual</w:t>
            </w:r>
            <w:r>
              <w:rPr>
                <w:rFonts w:ascii="Gotham Book" w:hAnsi="Gotham Book"/>
                <w:sz w:val="20"/>
                <w:szCs w:val="20"/>
              </w:rPr>
              <w:t>: Extraordinario</w:t>
            </w:r>
          </w:p>
          <w:p w14:paraId="1B8FD21F" w14:textId="77777777" w:rsidR="006C7339" w:rsidRPr="006F603A" w:rsidRDefault="006C7339" w:rsidP="00156FCF">
            <w:pPr>
              <w:spacing w:line="276" w:lineRule="auto"/>
              <w:rPr>
                <w:rFonts w:ascii="Gotham Book" w:hAnsi="Gotham Book"/>
                <w:sz w:val="12"/>
                <w:szCs w:val="12"/>
              </w:rPr>
            </w:pPr>
          </w:p>
          <w:p w14:paraId="777CA56F" w14:textId="77777777" w:rsidR="006C7339" w:rsidRDefault="006C7339" w:rsidP="00156FCF">
            <w:pPr>
              <w:spacing w:line="276" w:lineRule="auto"/>
              <w:rPr>
                <w:rFonts w:ascii="Gotham Book" w:hAnsi="Gotham Book"/>
                <w:sz w:val="20"/>
                <w:szCs w:val="20"/>
              </w:rPr>
            </w:pPr>
            <w:r w:rsidRPr="006F603A">
              <w:rPr>
                <w:rFonts w:ascii="Gotham Book" w:hAnsi="Gotham Book"/>
                <w:b/>
                <w:bCs/>
                <w:sz w:val="20"/>
                <w:szCs w:val="20"/>
              </w:rPr>
              <w:t>Apelación</w:t>
            </w:r>
            <w:r>
              <w:rPr>
                <w:rFonts w:ascii="Gotham Book" w:hAnsi="Gotham Book"/>
                <w:sz w:val="20"/>
                <w:szCs w:val="20"/>
              </w:rPr>
              <w:t>: Solicitud</w:t>
            </w:r>
          </w:p>
          <w:p w14:paraId="03E379AE" w14:textId="77777777" w:rsidR="006C7339" w:rsidRPr="00887B01" w:rsidRDefault="006C7339" w:rsidP="00156FCF">
            <w:pPr>
              <w:spacing w:line="276" w:lineRule="auto"/>
              <w:rPr>
                <w:rFonts w:ascii="Gotham Book" w:hAnsi="Gotham Book"/>
                <w:sz w:val="16"/>
                <w:szCs w:val="16"/>
              </w:rPr>
            </w:pPr>
          </w:p>
          <w:p w14:paraId="48BFC07B" w14:textId="77777777" w:rsidR="006C7339" w:rsidRPr="006F603A" w:rsidRDefault="006C7339" w:rsidP="00156FCF">
            <w:pPr>
              <w:spacing w:line="276" w:lineRule="auto"/>
              <w:rPr>
                <w:rFonts w:ascii="Gotham Book" w:hAnsi="Gotham Book"/>
                <w:sz w:val="20"/>
                <w:szCs w:val="20"/>
              </w:rPr>
            </w:pPr>
            <w:r w:rsidRPr="006F603A">
              <w:rPr>
                <w:rFonts w:ascii="Gotham Book" w:hAnsi="Gotham Book"/>
                <w:b/>
                <w:bCs/>
                <w:sz w:val="20"/>
                <w:szCs w:val="20"/>
              </w:rPr>
              <w:t>Salve</w:t>
            </w:r>
            <w:r>
              <w:rPr>
                <w:rFonts w:ascii="Gotham Book" w:hAnsi="Gotham Book"/>
                <w:sz w:val="20"/>
                <w:szCs w:val="20"/>
              </w:rPr>
              <w:t>: Para saludar a alguien</w:t>
            </w:r>
          </w:p>
        </w:tc>
      </w:tr>
    </w:tbl>
    <w:p w14:paraId="0BDA5311" w14:textId="77777777" w:rsidR="006C7339" w:rsidRPr="004B5C36" w:rsidRDefault="006C7339" w:rsidP="006C7339">
      <w:pPr>
        <w:rPr>
          <w:rFonts w:ascii="Gotham Book" w:hAnsi="Gotham Book"/>
          <w:sz w:val="8"/>
          <w:szCs w:val="8"/>
        </w:rPr>
      </w:pPr>
    </w:p>
    <w:p w14:paraId="51B17317" w14:textId="77777777" w:rsidR="006C7339" w:rsidRDefault="006C7339" w:rsidP="006C7339">
      <w:pPr>
        <w:pStyle w:val="ListParagraph"/>
        <w:numPr>
          <w:ilvl w:val="0"/>
          <w:numId w:val="1"/>
        </w:numPr>
        <w:rPr>
          <w:rFonts w:ascii="Gotham Book" w:hAnsi="Gotham Book"/>
        </w:rPr>
      </w:pPr>
      <w:r w:rsidRPr="004B5C36">
        <w:rPr>
          <w:rFonts w:ascii="Gotham Book" w:hAnsi="Gotham Book"/>
        </w:rPr>
        <w:t xml:space="preserve">Según el extracto, ¿cuál fue el resultado de la votación? </w:t>
      </w:r>
    </w:p>
    <w:p w14:paraId="1F9910E0" w14:textId="77777777" w:rsidR="006C7339" w:rsidRDefault="006C7339" w:rsidP="006C7339">
      <w:pPr>
        <w:pStyle w:val="ListParagraph"/>
        <w:numPr>
          <w:ilvl w:val="1"/>
          <w:numId w:val="1"/>
        </w:numPr>
        <w:rPr>
          <w:rFonts w:ascii="Gotham Book" w:hAnsi="Gotham Book"/>
        </w:rPr>
      </w:pPr>
      <w:r>
        <w:rPr>
          <w:rFonts w:ascii="Gotham Book" w:hAnsi="Gotham Book"/>
        </w:rPr>
        <w:t>Una gran mayoría de texanos votó a favor de la anexión</w:t>
      </w:r>
    </w:p>
    <w:p w14:paraId="4E291AD8" w14:textId="77777777" w:rsidR="006C7339" w:rsidRDefault="006C7339" w:rsidP="006C7339">
      <w:pPr>
        <w:pStyle w:val="ListParagraph"/>
        <w:numPr>
          <w:ilvl w:val="1"/>
          <w:numId w:val="1"/>
        </w:numPr>
        <w:rPr>
          <w:rFonts w:ascii="Gotham Book" w:hAnsi="Gotham Book"/>
        </w:rPr>
      </w:pPr>
      <w:r>
        <w:rPr>
          <w:rFonts w:ascii="Gotham Book" w:hAnsi="Gotham Book"/>
        </w:rPr>
        <w:t>Una gran mayoría de texanos votó en contra de la anexión</w:t>
      </w:r>
    </w:p>
    <w:p w14:paraId="19F7B686" w14:textId="77777777" w:rsidR="006C7339" w:rsidRDefault="006C7339" w:rsidP="006C7339">
      <w:pPr>
        <w:pStyle w:val="ListParagraph"/>
        <w:numPr>
          <w:ilvl w:val="1"/>
          <w:numId w:val="1"/>
        </w:numPr>
        <w:rPr>
          <w:rFonts w:ascii="Gotham Book" w:hAnsi="Gotham Book"/>
        </w:rPr>
      </w:pPr>
      <w:r>
        <w:rPr>
          <w:rFonts w:ascii="Gotham Book" w:hAnsi="Gotham Book"/>
        </w:rPr>
        <w:t>No se alcanzó la mayoría en la cuestión de la anexión</w:t>
      </w:r>
    </w:p>
    <w:p w14:paraId="4F21F54A" w14:textId="77777777" w:rsidR="006C7339" w:rsidRPr="00887B01" w:rsidRDefault="006C7339" w:rsidP="006C7339">
      <w:pPr>
        <w:pStyle w:val="ListParagraph"/>
        <w:ind w:left="1440"/>
        <w:rPr>
          <w:rFonts w:ascii="Gotham Book" w:hAnsi="Gotham Book"/>
          <w:sz w:val="16"/>
          <w:szCs w:val="16"/>
        </w:rPr>
      </w:pPr>
    </w:p>
    <w:p w14:paraId="64CC0414" w14:textId="77777777" w:rsidR="006C7339" w:rsidRDefault="006C7339" w:rsidP="006C7339">
      <w:pPr>
        <w:pStyle w:val="ListParagraph"/>
        <w:numPr>
          <w:ilvl w:val="0"/>
          <w:numId w:val="1"/>
        </w:numPr>
        <w:rPr>
          <w:rFonts w:ascii="Gotham Book" w:hAnsi="Gotham Book"/>
        </w:rPr>
      </w:pPr>
      <w:r>
        <w:rPr>
          <w:rFonts w:ascii="Gotham Book" w:hAnsi="Gotham Book"/>
        </w:rPr>
        <w:t xml:space="preserve">¿Qué línea del extracto es la mejor evidencia para respaldar tu respuesta a la pregunta anterior? </w:t>
      </w:r>
      <w:r w:rsidRPr="00887B01">
        <w:rPr>
          <w:rFonts w:ascii="Gotham Book" w:hAnsi="Gotham Book"/>
          <w:i/>
          <w:iCs/>
        </w:rPr>
        <w:t>(Las líneas están etiquetadas por letra en el extracto anterior.)</w:t>
      </w:r>
    </w:p>
    <w:p w14:paraId="01C55833" w14:textId="77777777" w:rsidR="006C7339" w:rsidRDefault="006C7339" w:rsidP="006C7339">
      <w:pPr>
        <w:pStyle w:val="ListParagraph"/>
        <w:numPr>
          <w:ilvl w:val="1"/>
          <w:numId w:val="1"/>
        </w:numPr>
        <w:rPr>
          <w:rFonts w:ascii="Gotham Book" w:hAnsi="Gotham Book"/>
        </w:rPr>
        <w:sectPr w:rsidR="006C7339" w:rsidSect="006C7339">
          <w:headerReference w:type="default" r:id="rId10"/>
          <w:footerReference w:type="default" r:id="rId11"/>
          <w:pgSz w:w="12240" w:h="15840"/>
          <w:pgMar w:top="1440" w:right="1440" w:bottom="1440" w:left="1440" w:header="720" w:footer="720" w:gutter="0"/>
          <w:cols w:space="720"/>
          <w:docGrid w:linePitch="360"/>
        </w:sectPr>
      </w:pPr>
    </w:p>
    <w:p w14:paraId="0AD54358" w14:textId="77777777" w:rsidR="006C7339" w:rsidRDefault="006C7339" w:rsidP="006C7339">
      <w:pPr>
        <w:pStyle w:val="ListParagraph"/>
        <w:numPr>
          <w:ilvl w:val="1"/>
          <w:numId w:val="1"/>
        </w:numPr>
        <w:rPr>
          <w:rFonts w:ascii="Gotham Book" w:hAnsi="Gotham Book"/>
        </w:rPr>
      </w:pPr>
      <w:r>
        <w:rPr>
          <w:rFonts w:ascii="Gotham Book" w:hAnsi="Gotham Book"/>
        </w:rPr>
        <w:t>Un</w:t>
      </w:r>
    </w:p>
    <w:p w14:paraId="32853DE5" w14:textId="77777777" w:rsidR="006C7339" w:rsidRDefault="006C7339" w:rsidP="006C7339">
      <w:pPr>
        <w:pStyle w:val="ListParagraph"/>
        <w:numPr>
          <w:ilvl w:val="1"/>
          <w:numId w:val="1"/>
        </w:numPr>
        <w:rPr>
          <w:rFonts w:ascii="Gotham Book" w:hAnsi="Gotham Book"/>
        </w:rPr>
      </w:pPr>
      <w:r>
        <w:rPr>
          <w:rFonts w:ascii="Gotham Book" w:hAnsi="Gotham Book"/>
        </w:rPr>
        <w:t>B</w:t>
      </w:r>
    </w:p>
    <w:p w14:paraId="3CA44A22" w14:textId="77777777" w:rsidR="006C7339" w:rsidRDefault="006C7339" w:rsidP="006C7339">
      <w:pPr>
        <w:pStyle w:val="ListParagraph"/>
        <w:numPr>
          <w:ilvl w:val="1"/>
          <w:numId w:val="1"/>
        </w:numPr>
        <w:rPr>
          <w:rFonts w:ascii="Gotham Book" w:hAnsi="Gotham Book"/>
        </w:rPr>
      </w:pPr>
      <w:r>
        <w:rPr>
          <w:rFonts w:ascii="Gotham Book" w:hAnsi="Gotham Book"/>
        </w:rPr>
        <w:t>C</w:t>
      </w:r>
    </w:p>
    <w:p w14:paraId="05BCBDAE" w14:textId="77777777" w:rsidR="006C7339" w:rsidRDefault="006C7339" w:rsidP="006C7339">
      <w:pPr>
        <w:pStyle w:val="ListParagraph"/>
        <w:numPr>
          <w:ilvl w:val="1"/>
          <w:numId w:val="1"/>
        </w:numPr>
        <w:rPr>
          <w:rFonts w:ascii="Gotham Book" w:hAnsi="Gotham Book"/>
        </w:rPr>
      </w:pPr>
      <w:r>
        <w:rPr>
          <w:rFonts w:ascii="Gotham Book" w:hAnsi="Gotham Book"/>
        </w:rPr>
        <w:t>D</w:t>
      </w:r>
    </w:p>
    <w:p w14:paraId="34C56460" w14:textId="77777777" w:rsidR="006C7339" w:rsidRDefault="006C7339" w:rsidP="006C7339">
      <w:pPr>
        <w:pStyle w:val="ListParagraph"/>
        <w:ind w:left="1440"/>
        <w:rPr>
          <w:rFonts w:ascii="Gotham Book" w:hAnsi="Gotham Book"/>
        </w:rPr>
        <w:sectPr w:rsidR="006C7339" w:rsidSect="006C7339">
          <w:type w:val="continuous"/>
          <w:pgSz w:w="12240" w:h="15840"/>
          <w:pgMar w:top="1440" w:right="1440" w:bottom="1440" w:left="1440" w:header="720" w:footer="720" w:gutter="0"/>
          <w:cols w:num="2" w:space="0"/>
          <w:docGrid w:linePitch="360"/>
        </w:sectPr>
      </w:pPr>
    </w:p>
    <w:p w14:paraId="13A87824" w14:textId="77777777" w:rsidR="006C7339" w:rsidRPr="00887B01" w:rsidRDefault="006C7339" w:rsidP="006C7339">
      <w:pPr>
        <w:pStyle w:val="ListParagraph"/>
        <w:ind w:left="1440"/>
        <w:rPr>
          <w:rFonts w:ascii="Gotham Book" w:hAnsi="Gotham Book"/>
          <w:sz w:val="12"/>
          <w:szCs w:val="12"/>
        </w:rPr>
      </w:pPr>
    </w:p>
    <w:p w14:paraId="4115B892" w14:textId="77777777" w:rsidR="006C7339" w:rsidRDefault="006C7339" w:rsidP="006C7339">
      <w:pPr>
        <w:pStyle w:val="ListParagraph"/>
        <w:numPr>
          <w:ilvl w:val="0"/>
          <w:numId w:val="1"/>
        </w:numPr>
        <w:rPr>
          <w:rFonts w:ascii="Gotham Book" w:hAnsi="Gotham Book"/>
        </w:rPr>
      </w:pPr>
      <w:r>
        <w:rPr>
          <w:rFonts w:ascii="Gotham Book" w:hAnsi="Gotham Book"/>
        </w:rPr>
        <w:t xml:space="preserve">¿Crees que Estados Unidos apoyaría o se opondría a la anexión de Texas? Por qué </w:t>
      </w:r>
    </w:p>
    <w:tbl>
      <w:tblPr>
        <w:tblStyle w:val="TableGrid"/>
        <w:tblW w:w="0" w:type="auto"/>
        <w:tblInd w:w="720" w:type="dxa"/>
        <w:tblLook w:val="04A0" w:firstRow="1" w:lastRow="0" w:firstColumn="1" w:lastColumn="0" w:noHBand="0" w:noVBand="1"/>
      </w:tblPr>
      <w:tblGrid>
        <w:gridCol w:w="8630"/>
      </w:tblGrid>
      <w:tr w:rsidR="00D0382E" w14:paraId="125278EB" w14:textId="77777777" w:rsidTr="00D0382E">
        <w:tc>
          <w:tcPr>
            <w:tcW w:w="9350" w:type="dxa"/>
          </w:tcPr>
          <w:p w14:paraId="794655CD" w14:textId="77777777" w:rsidR="00D0382E" w:rsidRPr="00D0382E" w:rsidRDefault="00D0382E" w:rsidP="00D0382E">
            <w:pPr>
              <w:pStyle w:val="ListParagraph"/>
              <w:ind w:left="0"/>
              <w:rPr>
                <w:rFonts w:ascii="Gotham Book" w:hAnsi="Gotham Book"/>
                <w:sz w:val="14"/>
                <w:szCs w:val="14"/>
              </w:rPr>
            </w:pPr>
          </w:p>
          <w:p w14:paraId="2BE88567" w14:textId="53550669" w:rsidR="00D0382E" w:rsidRPr="00D0382E" w:rsidRDefault="00D0382E" w:rsidP="00D0382E">
            <w:pPr>
              <w:pStyle w:val="ListParagraph"/>
              <w:spacing w:line="480" w:lineRule="auto"/>
              <w:ind w:left="0"/>
              <w:rPr>
                <w:rFonts w:ascii="Gotham Book" w:hAnsi="Gotham Book"/>
              </w:rPr>
            </w:pPr>
            <w:r>
              <w:rPr>
                <w:rFonts w:ascii="Gotham Book" w:hAnsi="Gotham Book"/>
              </w:rPr>
              <w:t xml:space="preserve">Creo que EE. UU.  apoyaría o </w:t>
            </w:r>
            <w:r>
              <w:rPr>
                <w:rFonts w:ascii="Gotham Book" w:hAnsi="Gotham Book"/>
                <w:b/>
                <w:bCs/>
                <w:u w:val="single"/>
              </w:rPr>
              <w:t>se opondría</w:t>
            </w:r>
            <w:r>
              <w:rPr>
                <w:rFonts w:ascii="Gotham Book" w:hAnsi="Gotham Book"/>
              </w:rPr>
              <w:t xml:space="preserve"> a la  anexión de Texas porque ________________ </w:t>
            </w:r>
            <w:r>
              <w:rPr>
                <w:rFonts w:ascii="Gotham Book" w:hAnsi="Gotham Book"/>
              </w:rPr>
              <w:lastRenderedPageBreak/>
              <w:t>______________________________________________________________________________________________ ______________________________________________________________________________________________</w:t>
            </w:r>
          </w:p>
        </w:tc>
      </w:tr>
    </w:tbl>
    <w:p w14:paraId="6CA8DC3D" w14:textId="0ABB0B9D" w:rsidR="0065438C" w:rsidRPr="00D0382E" w:rsidRDefault="0065438C">
      <w:pPr>
        <w:rPr>
          <w:sz w:val="8"/>
          <w:szCs w:val="8"/>
        </w:rPr>
      </w:pPr>
    </w:p>
    <w:sectPr w:rsidR="0065438C" w:rsidRPr="00D0382E" w:rsidSect="006C73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96C8" w14:textId="77777777" w:rsidR="00C1724D" w:rsidRDefault="00C1724D">
      <w:pPr>
        <w:spacing w:after="0" w:line="240" w:lineRule="auto"/>
      </w:pPr>
      <w:r>
        <w:separator/>
      </w:r>
    </w:p>
  </w:endnote>
  <w:endnote w:type="continuationSeparator" w:id="0">
    <w:p w14:paraId="6E020FAA" w14:textId="77777777" w:rsidR="00C1724D" w:rsidRDefault="00C1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783453"/>
      <w:docPartObj>
        <w:docPartGallery w:val="Page Numbers (Bottom of Page)"/>
        <w:docPartUnique/>
      </w:docPartObj>
    </w:sdtPr>
    <w:sdtEndPr>
      <w:rPr>
        <w:noProof/>
      </w:rPr>
    </w:sdtEndPr>
    <w:sdtContent>
      <w:p w14:paraId="46C3A1B2" w14:textId="77777777" w:rsidR="00FB7806" w:rsidRDefault="00FB7806">
        <w:pPr>
          <w:pStyle w:val="Footer"/>
          <w:jc w:val="center"/>
        </w:pPr>
        <w:r>
          <w:rPr>
            <w:noProof/>
            <w:sz w:val="18"/>
            <w:szCs w:val="18"/>
          </w:rPr>
          <w:drawing>
            <wp:anchor distT="0" distB="0" distL="114300" distR="114300" simplePos="0" relativeHeight="251659264" behindDoc="1" locked="0" layoutInCell="1" allowOverlap="1" wp14:anchorId="28EB0711" wp14:editId="693A70BE">
              <wp:simplePos x="0" y="0"/>
              <wp:positionH relativeFrom="margin">
                <wp:posOffset>5359900</wp:posOffset>
              </wp:positionH>
              <wp:positionV relativeFrom="paragraph">
                <wp:posOffset>-2540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A1F13FC" w14:textId="77777777" w:rsidR="00FB7806" w:rsidRDefault="00FB7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4949" w14:textId="77777777" w:rsidR="00C1724D" w:rsidRDefault="00C1724D">
      <w:pPr>
        <w:spacing w:after="0" w:line="240" w:lineRule="auto"/>
      </w:pPr>
      <w:r>
        <w:separator/>
      </w:r>
    </w:p>
  </w:footnote>
  <w:footnote w:type="continuationSeparator" w:id="0">
    <w:p w14:paraId="0D3E5B40" w14:textId="77777777" w:rsidR="00C1724D" w:rsidRDefault="00C17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991C" w14:textId="77777777" w:rsidR="00FB7806" w:rsidRDefault="00FB7806">
    <w:pPr>
      <w:pStyle w:val="Header"/>
    </w:pPr>
    <w:r w:rsidRPr="008D7B34">
      <w:rPr>
        <w:rFonts w:ascii="Gotham Book" w:hAnsi="Gotham Book"/>
        <w:noProof/>
      </w:rPr>
      <w:drawing>
        <wp:anchor distT="0" distB="0" distL="114300" distR="114300" simplePos="0" relativeHeight="251660288" behindDoc="1" locked="0" layoutInCell="1" allowOverlap="1" wp14:anchorId="64868A1A" wp14:editId="4B11C2EB">
          <wp:simplePos x="0" y="0"/>
          <wp:positionH relativeFrom="column">
            <wp:posOffset>0</wp:posOffset>
          </wp:positionH>
          <wp:positionV relativeFrom="paragraph">
            <wp:posOffset>-238260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AA774" w14:textId="77777777" w:rsidR="00FB7806" w:rsidRPr="005D1AE3" w:rsidRDefault="00FB7806">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6680A"/>
    <w:multiLevelType w:val="hybridMultilevel"/>
    <w:tmpl w:val="184C8CDA"/>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0E3741"/>
    <w:multiLevelType w:val="hybridMultilevel"/>
    <w:tmpl w:val="D772DD66"/>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87D92"/>
    <w:multiLevelType w:val="hybridMultilevel"/>
    <w:tmpl w:val="65109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03058">
    <w:abstractNumId w:val="2"/>
  </w:num>
  <w:num w:numId="2" w16cid:durableId="1758482398">
    <w:abstractNumId w:val="1"/>
  </w:num>
  <w:num w:numId="3" w16cid:durableId="136066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C2"/>
    <w:rsid w:val="00155AC2"/>
    <w:rsid w:val="00156631"/>
    <w:rsid w:val="001B4B2F"/>
    <w:rsid w:val="002217E5"/>
    <w:rsid w:val="002761C2"/>
    <w:rsid w:val="004A654F"/>
    <w:rsid w:val="0065438C"/>
    <w:rsid w:val="006C7339"/>
    <w:rsid w:val="00886615"/>
    <w:rsid w:val="00903901"/>
    <w:rsid w:val="00963012"/>
    <w:rsid w:val="009B7378"/>
    <w:rsid w:val="009F7AC1"/>
    <w:rsid w:val="00BD507D"/>
    <w:rsid w:val="00C1724D"/>
    <w:rsid w:val="00D0382E"/>
    <w:rsid w:val="00F0566A"/>
    <w:rsid w:val="00F974B9"/>
    <w:rsid w:val="00FB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875BB"/>
  <w15:chartTrackingRefBased/>
  <w15:docId w15:val="{93511032-4383-4A5D-8294-8CD0E4A6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339"/>
    <w:rPr>
      <w:rFonts w:asciiTheme="minorHAnsi" w:hAnsiTheme="minorHAnsi"/>
    </w:rPr>
  </w:style>
  <w:style w:type="paragraph" w:styleId="Heading1">
    <w:name w:val="heading 1"/>
    <w:basedOn w:val="Normal"/>
    <w:next w:val="Normal"/>
    <w:link w:val="Heading1Char"/>
    <w:uiPriority w:val="9"/>
    <w:qFormat/>
    <w:rsid w:val="00155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AC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A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5A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5A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5A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5A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5A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5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A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5AC2"/>
    <w:pPr>
      <w:spacing w:before="160"/>
      <w:jc w:val="center"/>
    </w:pPr>
    <w:rPr>
      <w:i/>
      <w:iCs/>
      <w:color w:val="404040" w:themeColor="text1" w:themeTint="BF"/>
    </w:rPr>
  </w:style>
  <w:style w:type="character" w:customStyle="1" w:styleId="QuoteChar">
    <w:name w:val="Quote Char"/>
    <w:basedOn w:val="DefaultParagraphFont"/>
    <w:link w:val="Quote"/>
    <w:uiPriority w:val="29"/>
    <w:rsid w:val="00155AC2"/>
    <w:rPr>
      <w:i/>
      <w:iCs/>
      <w:color w:val="404040" w:themeColor="text1" w:themeTint="BF"/>
    </w:rPr>
  </w:style>
  <w:style w:type="paragraph" w:styleId="ListParagraph">
    <w:name w:val="List Paragraph"/>
    <w:basedOn w:val="Normal"/>
    <w:uiPriority w:val="34"/>
    <w:qFormat/>
    <w:rsid w:val="00155AC2"/>
    <w:pPr>
      <w:ind w:left="720"/>
      <w:contextualSpacing/>
    </w:pPr>
  </w:style>
  <w:style w:type="character" w:styleId="IntenseEmphasis">
    <w:name w:val="Intense Emphasis"/>
    <w:basedOn w:val="DefaultParagraphFont"/>
    <w:uiPriority w:val="21"/>
    <w:qFormat/>
    <w:rsid w:val="00155AC2"/>
    <w:rPr>
      <w:i/>
      <w:iCs/>
      <w:color w:val="0F4761" w:themeColor="accent1" w:themeShade="BF"/>
    </w:rPr>
  </w:style>
  <w:style w:type="paragraph" w:styleId="IntenseQuote">
    <w:name w:val="Intense Quote"/>
    <w:basedOn w:val="Normal"/>
    <w:next w:val="Normal"/>
    <w:link w:val="IntenseQuoteChar"/>
    <w:uiPriority w:val="30"/>
    <w:qFormat/>
    <w:rsid w:val="00155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AC2"/>
    <w:rPr>
      <w:i/>
      <w:iCs/>
      <w:color w:val="0F4761" w:themeColor="accent1" w:themeShade="BF"/>
    </w:rPr>
  </w:style>
  <w:style w:type="character" w:styleId="IntenseReference">
    <w:name w:val="Intense Reference"/>
    <w:basedOn w:val="DefaultParagraphFont"/>
    <w:uiPriority w:val="32"/>
    <w:qFormat/>
    <w:rsid w:val="00155AC2"/>
    <w:rPr>
      <w:b/>
      <w:bCs/>
      <w:smallCaps/>
      <w:color w:val="0F4761" w:themeColor="accent1" w:themeShade="BF"/>
      <w:spacing w:val="5"/>
    </w:rPr>
  </w:style>
  <w:style w:type="character" w:styleId="Strong">
    <w:name w:val="Strong"/>
    <w:basedOn w:val="DefaultParagraphFont"/>
    <w:uiPriority w:val="22"/>
    <w:qFormat/>
    <w:rsid w:val="006C7339"/>
    <w:rPr>
      <w:b/>
      <w:bCs/>
    </w:rPr>
  </w:style>
  <w:style w:type="table" w:styleId="TableGrid">
    <w:name w:val="Table Grid"/>
    <w:basedOn w:val="TableNormal"/>
    <w:uiPriority w:val="39"/>
    <w:rsid w:val="006C733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339"/>
    <w:rPr>
      <w:rFonts w:asciiTheme="minorHAnsi" w:hAnsiTheme="minorHAnsi"/>
    </w:rPr>
  </w:style>
  <w:style w:type="paragraph" w:styleId="Footer">
    <w:name w:val="footer"/>
    <w:basedOn w:val="Normal"/>
    <w:link w:val="FooterChar"/>
    <w:uiPriority w:val="99"/>
    <w:unhideWhenUsed/>
    <w:rsid w:val="006C7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339"/>
    <w:rPr>
      <w:rFonts w:asciiTheme="minorHAnsi" w:hAnsiTheme="minorHAnsi"/>
    </w:rPr>
  </w:style>
  <w:style w:type="character" w:styleId="PlaceholderText">
    <w:name w:val="Placeholder Text"/>
    <w:basedOn w:val="DefaultParagraphFont"/>
    <w:uiPriority w:val="99"/>
    <w:semiHidden/>
    <w:rsid w:val="009039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B6778-BD52-4E10-A474-64C1F51E827B}">
  <ds:schemaRefs>
    <ds:schemaRef ds:uri="http://schemas.microsoft.com/sharepoint/v3/contenttype/forms"/>
  </ds:schemaRefs>
</ds:datastoreItem>
</file>

<file path=customXml/itemProps2.xml><?xml version="1.0" encoding="utf-8"?>
<ds:datastoreItem xmlns:ds="http://schemas.openxmlformats.org/officeDocument/2006/customXml" ds:itemID="{E3A72BF8-0BBA-4DB9-B877-B877C3E1A4D0}">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05A1774D-469A-45EF-B47A-0AF4EEFB5543}"/>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4</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2025-04-02T20:10:00Z</dcterms:created>
  <dcterms:modified xsi:type="dcterms:W3CDTF">2025-12-11T00:20:00Z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