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AE4A" w14:textId="77777777" w:rsidR="0007225C" w:rsidRDefault="0007225C" w:rsidP="0007225C">
      <w:pPr>
        <w:pStyle w:val="Heading1"/>
        <w:rPr>
          <w:rFonts w:ascii="Gotham Book" w:eastAsia="Gotham Book" w:hAnsi="Gotham Book" w:cs="Gotham Book"/>
          <w:b w:val="0"/>
          <w:lang w:val="es-MX"/>
        </w:rPr>
      </w:pPr>
      <w:r>
        <w:rPr>
          <w:rFonts w:ascii="Gotham Book" w:eastAsia="Gotham Book" w:hAnsi="Gotham Book" w:cs="Gotham Book"/>
          <w:b w:val="0"/>
          <w:lang w:val="es-MX"/>
        </w:rPr>
        <w:t>Camino a la Revolución de Texas: Ejercicio de gancho</w:t>
      </w:r>
    </w:p>
    <w:p w14:paraId="65C8E916" w14:textId="27008A41" w:rsidR="006F7E8E" w:rsidRPr="0007225C" w:rsidRDefault="006F7E8E" w:rsidP="006F7E8E">
      <w:pPr>
        <w:jc w:val="center"/>
        <w:rPr>
          <w:rFonts w:ascii="Gotham Book" w:hAnsi="Gotham Book"/>
          <w:lang w:val="es-MX"/>
        </w:rPr>
      </w:pPr>
    </w:p>
    <w:p w14:paraId="64BE3B43" w14:textId="2690F789" w:rsidR="00B07CA0" w:rsidRPr="0007225C" w:rsidRDefault="0007225C" w:rsidP="00B07CA0">
      <w:pPr>
        <w:rPr>
          <w:rStyle w:val="Hyperlink"/>
          <w:rFonts w:ascii="Gotham Book" w:hAnsi="Gotham Book"/>
          <w:color w:val="auto"/>
          <w:u w:val="none"/>
          <w:lang w:val="es-MX"/>
        </w:rPr>
      </w:pPr>
      <w:r>
        <w:rPr>
          <w:rFonts w:ascii="Gotham Book" w:eastAsia="Gotham Book" w:hAnsi="Gotham Book" w:cs="Gotham Book"/>
          <w:lang w:val="es-MX"/>
        </w:rPr>
        <w:t>Direcciones: Junto con su pareja, examina los dos extractos de fuente primaria abajo y contesta las preguntas a continuación</w:t>
      </w:r>
      <w:r w:rsidR="00B07CA0" w:rsidRPr="0007225C">
        <w:rPr>
          <w:rStyle w:val="Hyperlink"/>
          <w:rFonts w:ascii="Gotham Book" w:hAnsi="Gotham Book"/>
          <w:color w:val="auto"/>
          <w:u w:val="none"/>
          <w:lang w:val="es-MX"/>
        </w:rPr>
        <w:t>.</w:t>
      </w:r>
    </w:p>
    <w:p w14:paraId="6B4BD0FB" w14:textId="569D0BAB" w:rsidR="00C72726" w:rsidRPr="0007225C" w:rsidRDefault="00C72726" w:rsidP="00B07CA0">
      <w:pPr>
        <w:rPr>
          <w:rFonts w:ascii="Gotham Book" w:hAnsi="Gotham Book"/>
          <w:lang w:val="es-MX"/>
        </w:rPr>
      </w:pPr>
    </w:p>
    <w:p w14:paraId="17E46A15" w14:textId="227507C8" w:rsidR="00C72726" w:rsidRPr="0007225C" w:rsidRDefault="00C72726" w:rsidP="00D17C64">
      <w:pPr>
        <w:pStyle w:val="Heading2"/>
        <w:rPr>
          <w:rFonts w:ascii="Gotham Book" w:hAnsi="Gotham Book"/>
          <w:lang w:val="es-MX"/>
        </w:rPr>
      </w:pPr>
      <w:r w:rsidRPr="0007225C">
        <w:rPr>
          <w:rFonts w:ascii="Gotham Book" w:hAnsi="Gotham Book"/>
          <w:color w:val="322E50"/>
          <w:sz w:val="24"/>
          <w:szCs w:val="24"/>
          <w:lang w:val="es-MX"/>
        </w:rPr>
        <w:t>Document</w:t>
      </w:r>
      <w:r w:rsidR="0007225C" w:rsidRPr="0007225C">
        <w:rPr>
          <w:rFonts w:ascii="Gotham Book" w:hAnsi="Gotham Book"/>
          <w:color w:val="322E50"/>
          <w:sz w:val="24"/>
          <w:szCs w:val="24"/>
          <w:lang w:val="es-MX"/>
        </w:rPr>
        <w:t>o</w:t>
      </w:r>
      <w:r w:rsidRPr="0007225C">
        <w:rPr>
          <w:rFonts w:ascii="Gotham Book" w:hAnsi="Gotham Book"/>
          <w:color w:val="322E50"/>
          <w:sz w:val="24"/>
          <w:szCs w:val="24"/>
          <w:lang w:val="es-MX"/>
        </w:rPr>
        <w:t xml:space="preserve"> A: </w:t>
      </w:r>
    </w:p>
    <w:p w14:paraId="240F5DE1" w14:textId="3942C02E" w:rsidR="0007225C" w:rsidRPr="0007225C" w:rsidRDefault="0007225C" w:rsidP="0007225C">
      <w:pPr>
        <w:pBdr>
          <w:top w:val="single" w:sz="12" w:space="6" w:color="auto"/>
          <w:left w:val="single" w:sz="12" w:space="10" w:color="auto"/>
          <w:bottom w:val="single" w:sz="12" w:space="6" w:color="auto"/>
          <w:right w:val="single" w:sz="12" w:space="10" w:color="auto"/>
        </w:pBdr>
        <w:rPr>
          <w:rFonts w:ascii="Gotham Book" w:hAnsi="Gotham Book"/>
          <w:b/>
          <w:lang w:val="es-MX"/>
        </w:rPr>
      </w:pPr>
      <w:r>
        <w:rPr>
          <w:rFonts w:ascii="Gotham Book" w:hAnsi="Gotham Book"/>
          <w:b/>
          <w:lang w:val="es-MX"/>
        </w:rPr>
        <w:t>Carta</w:t>
      </w:r>
      <w:r w:rsidR="00C72726" w:rsidRPr="0007225C">
        <w:rPr>
          <w:rFonts w:ascii="Gotham Book" w:hAnsi="Gotham Book"/>
          <w:b/>
          <w:lang w:val="es-MX"/>
        </w:rPr>
        <w:t xml:space="preserve"> </w:t>
      </w:r>
      <w:r w:rsidRPr="0007225C">
        <w:rPr>
          <w:rFonts w:ascii="Gotham Book" w:hAnsi="Gotham Book"/>
          <w:b/>
          <w:lang w:val="es-MX"/>
        </w:rPr>
        <w:t>de Stephen F. Austin a uno de los rebeldes de Fredonia</w:t>
      </w:r>
    </w:p>
    <w:p w14:paraId="0CD8FE79" w14:textId="50D36440" w:rsidR="00C72726" w:rsidRPr="0007225C" w:rsidRDefault="0007225C" w:rsidP="0007225C">
      <w:pPr>
        <w:pBdr>
          <w:top w:val="single" w:sz="12" w:space="6" w:color="auto"/>
          <w:left w:val="single" w:sz="12" w:space="10" w:color="auto"/>
          <w:bottom w:val="single" w:sz="12" w:space="6" w:color="auto"/>
          <w:right w:val="single" w:sz="12" w:space="10" w:color="auto"/>
        </w:pBdr>
        <w:rPr>
          <w:rFonts w:ascii="Gotham Book" w:hAnsi="Gotham Book"/>
          <w:i/>
          <w:lang w:val="es-MX"/>
        </w:rPr>
      </w:pPr>
      <w:r w:rsidRPr="0007225C">
        <w:rPr>
          <w:rFonts w:ascii="Gotham Book" w:hAnsi="Gotham Book"/>
          <w:i/>
          <w:lang w:val="es-MX"/>
        </w:rPr>
        <w:t>Stephen F. Austin a B. J. Thompson, 24 de diciembre de 1826</w:t>
      </w:r>
    </w:p>
    <w:p w14:paraId="58B9C649" w14:textId="77777777" w:rsidR="0007225C" w:rsidRPr="0007225C" w:rsidRDefault="0007225C" w:rsidP="0007225C">
      <w:pPr>
        <w:pBdr>
          <w:top w:val="single" w:sz="12" w:space="6" w:color="auto"/>
          <w:left w:val="single" w:sz="12" w:space="10" w:color="auto"/>
          <w:bottom w:val="single" w:sz="12" w:space="6" w:color="auto"/>
          <w:right w:val="single" w:sz="12" w:space="10" w:color="auto"/>
        </w:pBdr>
        <w:rPr>
          <w:rFonts w:ascii="Gotham Book" w:hAnsi="Gotham Book"/>
          <w:lang w:val="es-MX"/>
        </w:rPr>
      </w:pPr>
    </w:p>
    <w:p w14:paraId="2C96A28F" w14:textId="77777777" w:rsidR="0007225C" w:rsidRPr="0007225C" w:rsidRDefault="0007225C" w:rsidP="0007225C">
      <w:pPr>
        <w:pBdr>
          <w:top w:val="single" w:sz="12" w:space="6" w:color="auto"/>
          <w:left w:val="single" w:sz="12" w:space="10" w:color="auto"/>
          <w:bottom w:val="single" w:sz="12" w:space="6" w:color="auto"/>
          <w:right w:val="single" w:sz="12" w:space="10" w:color="auto"/>
        </w:pBdr>
        <w:rPr>
          <w:rFonts w:ascii="Gotham Book" w:hAnsi="Gotham Book"/>
          <w:lang w:val="es-MX"/>
        </w:rPr>
      </w:pPr>
      <w:r w:rsidRPr="0007225C">
        <w:rPr>
          <w:rFonts w:ascii="Gotham Book" w:hAnsi="Gotham Book"/>
          <w:lang w:val="es-MX"/>
        </w:rPr>
        <w:t>Señor,</w:t>
      </w:r>
    </w:p>
    <w:p w14:paraId="5A1D38AE" w14:textId="20E02CE3" w:rsidR="00C72726" w:rsidRDefault="0007225C" w:rsidP="0007225C">
      <w:pPr>
        <w:pBdr>
          <w:top w:val="single" w:sz="12" w:space="6" w:color="auto"/>
          <w:left w:val="single" w:sz="12" w:space="10" w:color="auto"/>
          <w:bottom w:val="single" w:sz="12" w:space="6" w:color="auto"/>
          <w:right w:val="single" w:sz="12" w:space="10" w:color="auto"/>
        </w:pBdr>
        <w:rPr>
          <w:rFonts w:ascii="Gotham Book" w:hAnsi="Gotham Book"/>
          <w:lang w:val="es-MX"/>
        </w:rPr>
      </w:pPr>
      <w:r w:rsidRPr="0007225C">
        <w:rPr>
          <w:rFonts w:ascii="Gotham Book" w:hAnsi="Gotham Book"/>
          <w:lang w:val="es-MX"/>
        </w:rPr>
        <w:tab/>
        <w:t>“...He sabido con el mayor asomo que tú has tomado parte activa en los alborotos en esa parte del país. Amigo mío, espero que no malinterpretes mi franqueza cuando te digo que has cometido un error, que por ese acto imprudente has injuriado tu propia reputación en el gobierno y has hecho verdaderas las palabras de tus enemigos, has arriesgado el futuro de este país entero . . .“</w:t>
      </w:r>
    </w:p>
    <w:p w14:paraId="5326CB78" w14:textId="77777777" w:rsidR="0007225C" w:rsidRPr="0007225C" w:rsidRDefault="0007225C" w:rsidP="0007225C">
      <w:pPr>
        <w:pBdr>
          <w:top w:val="single" w:sz="12" w:space="6" w:color="auto"/>
          <w:left w:val="single" w:sz="12" w:space="10" w:color="auto"/>
          <w:bottom w:val="single" w:sz="12" w:space="6" w:color="auto"/>
          <w:right w:val="single" w:sz="12" w:space="10" w:color="auto"/>
        </w:pBdr>
        <w:rPr>
          <w:rFonts w:ascii="Gotham Book" w:hAnsi="Gotham Book"/>
          <w:lang w:val="es-MX"/>
        </w:rPr>
      </w:pPr>
    </w:p>
    <w:p w14:paraId="7858C9E6" w14:textId="42768240" w:rsidR="00C72726" w:rsidRPr="0007225C" w:rsidRDefault="00C72726" w:rsidP="00C72726">
      <w:pPr>
        <w:pBdr>
          <w:top w:val="single" w:sz="12" w:space="6" w:color="auto"/>
          <w:left w:val="single" w:sz="12" w:space="10" w:color="auto"/>
          <w:bottom w:val="single" w:sz="12" w:space="6" w:color="auto"/>
          <w:right w:val="single" w:sz="12" w:space="10" w:color="auto"/>
        </w:pBdr>
        <w:rPr>
          <w:rFonts w:ascii="Gotham Book" w:hAnsi="Gotham Book"/>
          <w:lang w:val="es-MX"/>
        </w:rPr>
      </w:pPr>
      <w:r w:rsidRPr="0007225C">
        <w:rPr>
          <w:rFonts w:ascii="Gotham Book" w:hAnsi="Gotham Book"/>
          <w:lang w:val="es-MX"/>
        </w:rPr>
        <w:t>“...</w:t>
      </w:r>
      <w:r w:rsidR="0007225C">
        <w:rPr>
          <w:rFonts w:ascii="Gotham Book" w:eastAsia="Gotham Book" w:hAnsi="Gotham Book" w:cs="Gotham Book"/>
          <w:lang w:val="es-MX"/>
        </w:rPr>
        <w:t>Escríbeme lo pronto que sea posible y dime con franqueza qué es lo que tienes pensado y en qué estado se encuentra esa parte del país, pues hemos tenido muchos rumores por aquí--y espero que estos rumores sean falsos, aunque vengan muy directamente de los viajeros que diariamente van pasando por acá--pero no me es posible creer que todos ustedes se han vuelto locos</w:t>
      </w:r>
      <w:r w:rsidRPr="0007225C">
        <w:rPr>
          <w:rFonts w:ascii="Gotham Book" w:hAnsi="Gotham Book"/>
          <w:lang w:val="es-MX"/>
        </w:rPr>
        <w:t>.”</w:t>
      </w:r>
    </w:p>
    <w:p w14:paraId="4690374E" w14:textId="4D1158E8" w:rsidR="00602F2E" w:rsidRPr="00D17C64" w:rsidRDefault="00602F2E" w:rsidP="00602F2E">
      <w:pPr>
        <w:pStyle w:val="NoSpacing"/>
        <w:ind w:left="720" w:hanging="720"/>
        <w:rPr>
          <w:rFonts w:ascii="Gotham Book" w:hAnsi="Gotham Book"/>
          <w:sz w:val="20"/>
          <w:szCs w:val="20"/>
        </w:rPr>
      </w:pPr>
      <w:r w:rsidRPr="0007225C">
        <w:rPr>
          <w:rFonts w:ascii="Gotham Book" w:hAnsi="Gotham Book"/>
          <w:sz w:val="20"/>
          <w:szCs w:val="20"/>
        </w:rPr>
        <w:t xml:space="preserve">American Historical Association, and Eugene C. Barker. </w:t>
      </w:r>
      <w:r>
        <w:rPr>
          <w:rFonts w:ascii="Gotham Book" w:hAnsi="Gotham Book"/>
          <w:sz w:val="20"/>
          <w:szCs w:val="20"/>
        </w:rPr>
        <w:t>“Annual Report of the American Historical Association for the Year 1919: The Austin Papers in Two Volumes,” Volume 1, Part 2, pp. 423-429. Washington D. C.: Government Printing Office, 1924.</w:t>
      </w:r>
    </w:p>
    <w:p w14:paraId="5EB96D15" w14:textId="77777777" w:rsidR="00C72726" w:rsidRPr="00C72726" w:rsidRDefault="00C72726" w:rsidP="00C72726">
      <w:pPr>
        <w:rPr>
          <w:rFonts w:ascii="Gotham Book" w:hAnsi="Gotham Book"/>
          <w:sz w:val="20"/>
          <w:szCs w:val="20"/>
        </w:rPr>
      </w:pPr>
    </w:p>
    <w:p w14:paraId="0877ACDD" w14:textId="59835B95" w:rsidR="00C72726" w:rsidRPr="0007225C" w:rsidRDefault="00C72726" w:rsidP="00C72726">
      <w:pPr>
        <w:rPr>
          <w:rFonts w:ascii="Gotham Book" w:hAnsi="Gotham Book"/>
          <w:lang w:val="es-MX"/>
        </w:rPr>
      </w:pPr>
      <w:r w:rsidRPr="0007225C">
        <w:rPr>
          <w:rFonts w:ascii="Gotham Book" w:hAnsi="Gotham Book"/>
          <w:lang w:val="es-MX"/>
        </w:rPr>
        <w:t>1.</w:t>
      </w:r>
      <w:r w:rsidRPr="0007225C">
        <w:rPr>
          <w:rFonts w:ascii="Gotham Book" w:hAnsi="Gotham Book"/>
          <w:lang w:val="es-MX"/>
        </w:rPr>
        <w:tab/>
      </w:r>
      <w:r w:rsidR="0007225C">
        <w:rPr>
          <w:rFonts w:ascii="Gotham Book" w:eastAsia="Gotham Book" w:hAnsi="Gotham Book" w:cs="Gotham Book"/>
          <w:lang w:val="es-MX"/>
        </w:rPr>
        <w:t>Stephen F. Austin se dirige al rebelde de Fredonia, B.J. Thompson, como “amigo mío” en el Documento A. Basándose del extracto de esta carta, ¿crees que Austin y Thompson siguieron siendo amigos después de que Thompson recibiera esta carta? Explica tu razonamiento</w:t>
      </w:r>
      <w:r w:rsidRPr="0007225C">
        <w:rPr>
          <w:rFonts w:ascii="Gotham Book" w:hAnsi="Gotham Book"/>
          <w:lang w:val="es-MX"/>
        </w:rPr>
        <w:t>.</w:t>
      </w:r>
    </w:p>
    <w:p w14:paraId="2253BDB6" w14:textId="77777777" w:rsidR="00C72726" w:rsidRPr="0007225C" w:rsidRDefault="00C72726">
      <w:pPr>
        <w:rPr>
          <w:rFonts w:ascii="Gotham Book" w:hAnsi="Gotham Book"/>
          <w:lang w:val="es-MX"/>
        </w:rPr>
      </w:pPr>
      <w:r w:rsidRPr="0007225C">
        <w:rPr>
          <w:rFonts w:ascii="Gotham Book" w:hAnsi="Gotham Book"/>
          <w:lang w:val="es-MX"/>
        </w:rPr>
        <w:br w:type="page"/>
      </w:r>
    </w:p>
    <w:p w14:paraId="114E14A8" w14:textId="1F5D3EFE" w:rsidR="00C72726" w:rsidRPr="0007225C" w:rsidRDefault="00C72726" w:rsidP="00D17C64">
      <w:pPr>
        <w:pStyle w:val="Heading2"/>
        <w:rPr>
          <w:rFonts w:ascii="Gotham Book" w:hAnsi="Gotham Book"/>
          <w:lang w:val="es-MX"/>
        </w:rPr>
      </w:pPr>
      <w:r w:rsidRPr="0007225C">
        <w:rPr>
          <w:rFonts w:ascii="Gotham Book" w:hAnsi="Gotham Book"/>
          <w:color w:val="322E50"/>
          <w:sz w:val="24"/>
          <w:szCs w:val="24"/>
          <w:lang w:val="es-MX"/>
        </w:rPr>
        <w:lastRenderedPageBreak/>
        <w:t>Document</w:t>
      </w:r>
      <w:r w:rsidR="0007225C" w:rsidRPr="0007225C">
        <w:rPr>
          <w:rFonts w:ascii="Gotham Book" w:hAnsi="Gotham Book"/>
          <w:color w:val="322E50"/>
          <w:sz w:val="24"/>
          <w:szCs w:val="24"/>
          <w:lang w:val="es-MX"/>
        </w:rPr>
        <w:t>o</w:t>
      </w:r>
      <w:r w:rsidRPr="0007225C">
        <w:rPr>
          <w:rFonts w:ascii="Gotham Book" w:hAnsi="Gotham Book"/>
          <w:color w:val="322E50"/>
          <w:sz w:val="24"/>
          <w:szCs w:val="24"/>
          <w:lang w:val="es-MX"/>
        </w:rPr>
        <w:t xml:space="preserve"> B: </w:t>
      </w:r>
    </w:p>
    <w:p w14:paraId="1F79DEC3" w14:textId="77777777" w:rsidR="0007225C" w:rsidRDefault="0007225C" w:rsidP="00917DDF">
      <w:pPr>
        <w:pBdr>
          <w:top w:val="single" w:sz="12" w:space="6" w:color="auto"/>
          <w:left w:val="single" w:sz="12" w:space="10" w:color="auto"/>
          <w:bottom w:val="single" w:sz="12" w:space="31" w:color="auto"/>
          <w:right w:val="single" w:sz="12" w:space="10" w:color="auto"/>
        </w:pBdr>
        <w:rPr>
          <w:rFonts w:ascii="Gotham Book" w:eastAsia="Gotham Book" w:hAnsi="Gotham Book" w:cs="Gotham Book"/>
          <w:b/>
          <w:lang w:val="es-MX"/>
        </w:rPr>
      </w:pPr>
      <w:r>
        <w:rPr>
          <w:rFonts w:ascii="Gotham Book" w:eastAsia="Gotham Book" w:hAnsi="Gotham Book" w:cs="Gotham Book"/>
          <w:b/>
          <w:lang w:val="es-MX"/>
        </w:rPr>
        <w:t>Aviso sobre la Ley de 6 de abril de 1830</w:t>
      </w:r>
    </w:p>
    <w:p w14:paraId="0D78D897" w14:textId="6E6F3577" w:rsidR="00917DDF" w:rsidRDefault="0007225C" w:rsidP="00917DDF">
      <w:pPr>
        <w:pBdr>
          <w:top w:val="single" w:sz="12" w:space="6" w:color="auto"/>
          <w:left w:val="single" w:sz="12" w:space="10" w:color="auto"/>
          <w:bottom w:val="single" w:sz="12" w:space="31" w:color="auto"/>
          <w:right w:val="single" w:sz="12" w:space="10" w:color="auto"/>
        </w:pBdr>
        <w:rPr>
          <w:rFonts w:ascii="Gotham Book" w:hAnsi="Gotham Book"/>
          <w:i/>
          <w:lang w:val="es-MX"/>
        </w:rPr>
      </w:pPr>
      <w:r w:rsidRPr="0007225C">
        <w:rPr>
          <w:rFonts w:ascii="Gotham Book" w:hAnsi="Gotham Book"/>
          <w:i/>
          <w:lang w:val="es-MX"/>
        </w:rPr>
        <w:t>Legislación mexicana en los Estados Unidos</w:t>
      </w:r>
    </w:p>
    <w:p w14:paraId="3B631A2E" w14:textId="77777777" w:rsidR="0007225C" w:rsidRPr="0007225C" w:rsidRDefault="0007225C" w:rsidP="00917DDF">
      <w:pPr>
        <w:pBdr>
          <w:top w:val="single" w:sz="12" w:space="6" w:color="auto"/>
          <w:left w:val="single" w:sz="12" w:space="10" w:color="auto"/>
          <w:bottom w:val="single" w:sz="12" w:space="31" w:color="auto"/>
          <w:right w:val="single" w:sz="12" w:space="10" w:color="auto"/>
        </w:pBdr>
        <w:rPr>
          <w:rFonts w:ascii="Gotham Book" w:hAnsi="Gotham Book"/>
          <w:lang w:val="es-MX"/>
        </w:rPr>
      </w:pPr>
    </w:p>
    <w:p w14:paraId="00B25E28" w14:textId="6FA1CBD1" w:rsidR="00917DDF" w:rsidRPr="0007225C" w:rsidRDefault="00917DDF" w:rsidP="00917DDF">
      <w:pPr>
        <w:pBdr>
          <w:top w:val="single" w:sz="12" w:space="6" w:color="auto"/>
          <w:left w:val="single" w:sz="12" w:space="10" w:color="auto"/>
          <w:bottom w:val="single" w:sz="12" w:space="31" w:color="auto"/>
          <w:right w:val="single" w:sz="12" w:space="10" w:color="auto"/>
        </w:pBdr>
        <w:rPr>
          <w:rFonts w:ascii="Gotham Book" w:hAnsi="Gotham Book"/>
          <w:lang w:val="es-MX"/>
        </w:rPr>
      </w:pPr>
      <w:r w:rsidRPr="0007225C">
        <w:rPr>
          <w:rFonts w:ascii="Gotham Book" w:hAnsi="Gotham Book"/>
        </w:rPr>
        <w:t>“</w:t>
      </w:r>
      <w:r w:rsidR="0007225C">
        <w:rPr>
          <w:rFonts w:ascii="Gotham Book" w:eastAsia="Gotham Book" w:hAnsi="Gotham Book" w:cs="Gotham Book"/>
          <w:lang w:val="es-MX"/>
        </w:rPr>
        <w:t>Art. 11. En uso de la facultad que se reservó el Congreso General en el Art. 7</w:t>
      </w:r>
      <w:r w:rsidR="0007225C">
        <w:rPr>
          <w:rFonts w:ascii="Gotham Book" w:eastAsia="Gotham Book" w:hAnsi="Gotham Book" w:cs="Gotham Book"/>
          <w:vertAlign w:val="superscript"/>
          <w:lang w:val="es-MX"/>
        </w:rPr>
        <w:t>o</w:t>
      </w:r>
      <w:r w:rsidR="0007225C">
        <w:rPr>
          <w:rFonts w:ascii="Gotham Book" w:eastAsia="Gotham Book" w:hAnsi="Gotham Book" w:cs="Gotham Book"/>
          <w:lang w:val="es-MX"/>
        </w:rPr>
        <w:t xml:space="preserve"> de la Ley de 18 de agosto de 1824, se prohíbe colonizar a los extranjeros limítrofes en aquellos estados y territorios de la federación que colindan con sus naciones. En consecuencia, se suspenderán los contratos que no hayan tenido su cumplimiento y sean opuestos a esta ley</w:t>
      </w:r>
      <w:r w:rsidRPr="0007225C">
        <w:rPr>
          <w:rFonts w:ascii="Gotham Book" w:hAnsi="Gotham Book"/>
          <w:lang w:val="es-MX"/>
        </w:rPr>
        <w:t xml:space="preserve">.” </w:t>
      </w:r>
    </w:p>
    <w:p w14:paraId="514A4563" w14:textId="77777777" w:rsidR="00917DDF" w:rsidRPr="0007225C" w:rsidRDefault="00917DDF" w:rsidP="00917DDF">
      <w:pPr>
        <w:pBdr>
          <w:top w:val="single" w:sz="12" w:space="6" w:color="auto"/>
          <w:left w:val="single" w:sz="12" w:space="10" w:color="auto"/>
          <w:bottom w:val="single" w:sz="12" w:space="31" w:color="auto"/>
          <w:right w:val="single" w:sz="12" w:space="10" w:color="auto"/>
        </w:pBdr>
        <w:rPr>
          <w:rFonts w:ascii="Gotham Book" w:hAnsi="Gotham Book"/>
          <w:lang w:val="es-MX"/>
        </w:rPr>
      </w:pPr>
    </w:p>
    <w:p w14:paraId="2A2E7E7C" w14:textId="283A3140" w:rsidR="00917DDF" w:rsidRPr="0007225C" w:rsidRDefault="0007225C" w:rsidP="00917DDF">
      <w:pPr>
        <w:pBdr>
          <w:top w:val="single" w:sz="12" w:space="6" w:color="auto"/>
          <w:left w:val="single" w:sz="12" w:space="10" w:color="auto"/>
          <w:bottom w:val="single" w:sz="12" w:space="31" w:color="auto"/>
          <w:right w:val="single" w:sz="12" w:space="10" w:color="auto"/>
        </w:pBdr>
        <w:rPr>
          <w:rFonts w:ascii="Gotham Book" w:hAnsi="Gotham Book"/>
          <w:lang w:val="es-MX"/>
        </w:rPr>
      </w:pPr>
      <w:r w:rsidRPr="0007225C">
        <w:rPr>
          <w:rFonts w:ascii="Gotham Book" w:hAnsi="Gotham Book"/>
          <w:lang w:val="es-MX"/>
        </w:rPr>
        <w:t xml:space="preserve">Por </w:t>
      </w:r>
      <w:r>
        <w:rPr>
          <w:rFonts w:ascii="Gotham Book" w:eastAsia="Gotham Book" w:hAnsi="Gotham Book" w:cs="Gotham Book"/>
          <w:lang w:val="es-MX"/>
        </w:rPr>
        <w:t>tanto, declaro, en nombre del gobierno mexicano, que cualquier contrato que se haya celebrado en contravención de dicha ley será nulo e invalido, siendo avisado que queda prohibida la colonización en el estado de Coahuila y Texas, y el territorio de Nuevo México, por ciudadanos de los Estados Unidos.” --Baltimore, 5 de noviembre de 1830</w:t>
      </w:r>
      <w:r w:rsidR="00917DDF" w:rsidRPr="0007225C">
        <w:rPr>
          <w:rFonts w:ascii="Gotham Book" w:hAnsi="Gotham Book"/>
          <w:lang w:val="es-MX"/>
        </w:rPr>
        <w:t>” Jos</w:t>
      </w:r>
      <w:r w:rsidRPr="0007225C">
        <w:rPr>
          <w:rFonts w:ascii="Gotham Book" w:eastAsia="Gotham Book" w:hAnsi="Gotham Book" w:cs="Gotham Book"/>
          <w:lang w:val="es-MX"/>
        </w:rPr>
        <w:t>é</w:t>
      </w:r>
      <w:r w:rsidR="00917DDF" w:rsidRPr="0007225C">
        <w:rPr>
          <w:rFonts w:ascii="Gotham Book" w:hAnsi="Gotham Book"/>
          <w:lang w:val="es-MX"/>
        </w:rPr>
        <w:t xml:space="preserve"> </w:t>
      </w:r>
      <w:proofErr w:type="spellStart"/>
      <w:r w:rsidR="00917DDF" w:rsidRPr="0007225C">
        <w:rPr>
          <w:rFonts w:ascii="Gotham Book" w:hAnsi="Gotham Book"/>
          <w:lang w:val="es-MX"/>
        </w:rPr>
        <w:t>M</w:t>
      </w:r>
      <w:r w:rsidRPr="0007225C">
        <w:rPr>
          <w:rFonts w:ascii="Gotham Book" w:hAnsi="Gotham Book"/>
          <w:lang w:val="es-MX"/>
        </w:rPr>
        <w:t>aria</w:t>
      </w:r>
      <w:proofErr w:type="spellEnd"/>
      <w:r w:rsidR="00917DDF" w:rsidRPr="0007225C">
        <w:rPr>
          <w:rFonts w:ascii="Gotham Book" w:hAnsi="Gotham Book"/>
          <w:lang w:val="es-MX"/>
        </w:rPr>
        <w:t xml:space="preserve"> </w:t>
      </w:r>
      <w:proofErr w:type="spellStart"/>
      <w:r w:rsidR="00917DDF" w:rsidRPr="0007225C">
        <w:rPr>
          <w:rFonts w:ascii="Gotham Book" w:hAnsi="Gotham Book"/>
          <w:lang w:val="es-MX"/>
        </w:rPr>
        <w:t>Tornel</w:t>
      </w:r>
      <w:proofErr w:type="spellEnd"/>
    </w:p>
    <w:p w14:paraId="5E29C0B2" w14:textId="3518B8E0" w:rsidR="00602F2E" w:rsidRPr="00D17C64" w:rsidRDefault="00602F2E" w:rsidP="00602F2E">
      <w:pPr>
        <w:pStyle w:val="NoSpacing"/>
        <w:ind w:left="720" w:hanging="720"/>
        <w:rPr>
          <w:rFonts w:ascii="Gotham Book" w:hAnsi="Gotham Book"/>
          <w:sz w:val="20"/>
          <w:szCs w:val="20"/>
        </w:rPr>
      </w:pPr>
      <w:proofErr w:type="spellStart"/>
      <w:r w:rsidRPr="0007225C">
        <w:rPr>
          <w:rFonts w:ascii="Gotham Book" w:hAnsi="Gotham Book"/>
          <w:sz w:val="20"/>
          <w:szCs w:val="20"/>
          <w:lang w:val="es-MX"/>
        </w:rPr>
        <w:t>Tornel</w:t>
      </w:r>
      <w:proofErr w:type="spellEnd"/>
      <w:r w:rsidRPr="0007225C">
        <w:rPr>
          <w:rFonts w:ascii="Gotham Book" w:hAnsi="Gotham Book"/>
          <w:sz w:val="20"/>
          <w:szCs w:val="20"/>
          <w:lang w:val="es-MX"/>
        </w:rPr>
        <w:t xml:space="preserve">, José María. </w:t>
      </w:r>
      <w:r>
        <w:rPr>
          <w:rFonts w:ascii="Gotham Book" w:hAnsi="Gotham Book"/>
          <w:sz w:val="20"/>
          <w:szCs w:val="20"/>
        </w:rPr>
        <w:t xml:space="preserve">“Transcript of Announcement Concerning the Mexican Law of April 6, 1830,” November 5, 1830. The Portal to Texas History. University of North Texas Libraries, April 16, 2012. </w:t>
      </w:r>
      <w:hyperlink r:id="rId10" w:history="1">
        <w:r w:rsidRPr="00F74E9C">
          <w:rPr>
            <w:rStyle w:val="Hyperlink"/>
            <w:rFonts w:ascii="Gotham Book" w:hAnsi="Gotham Book"/>
            <w:sz w:val="20"/>
            <w:szCs w:val="20"/>
          </w:rPr>
          <w:t>https://texashistory.unt.edu</w:t>
        </w:r>
      </w:hyperlink>
      <w:r>
        <w:rPr>
          <w:rFonts w:ascii="Gotham Book" w:hAnsi="Gotham Book"/>
          <w:sz w:val="20"/>
          <w:szCs w:val="20"/>
        </w:rPr>
        <w:t xml:space="preserve">; crediting The Dolph Briscoe Center for American History. </w:t>
      </w:r>
      <w:hyperlink r:id="rId11" w:history="1">
        <w:r w:rsidRPr="00980DAF">
          <w:rPr>
            <w:rStyle w:val="Hyperlink"/>
            <w:rFonts w:ascii="Gotham Book" w:hAnsi="Gotham Book"/>
            <w:sz w:val="20"/>
            <w:szCs w:val="20"/>
          </w:rPr>
          <w:t>https://texashistory.unt.edu/ark:/67531/metapth216703</w:t>
        </w:r>
      </w:hyperlink>
    </w:p>
    <w:p w14:paraId="187DA70D" w14:textId="77777777" w:rsidR="00C72726" w:rsidRPr="00C72726" w:rsidRDefault="00C72726" w:rsidP="00C72726">
      <w:pPr>
        <w:rPr>
          <w:rFonts w:ascii="Gotham Book" w:hAnsi="Gotham Book"/>
          <w:sz w:val="20"/>
          <w:szCs w:val="20"/>
        </w:rPr>
      </w:pPr>
    </w:p>
    <w:p w14:paraId="66ACD688" w14:textId="58CF0C86" w:rsidR="00917DDF" w:rsidRPr="0007225C" w:rsidRDefault="00917DDF" w:rsidP="00F34C8C">
      <w:pPr>
        <w:pStyle w:val="ListParagraph"/>
        <w:spacing w:after="1800" w:line="276" w:lineRule="auto"/>
        <w:ind w:left="86" w:right="-547"/>
        <w:contextualSpacing w:val="0"/>
        <w:rPr>
          <w:rFonts w:ascii="Gotham Book" w:hAnsi="Gotham Book"/>
          <w:lang w:val="es-MX"/>
        </w:rPr>
      </w:pPr>
      <w:r w:rsidRPr="0007225C">
        <w:rPr>
          <w:rFonts w:ascii="Gotham Book" w:hAnsi="Gotham Book"/>
          <w:lang w:val="es-MX"/>
        </w:rPr>
        <w:t>2</w:t>
      </w:r>
      <w:r w:rsidR="00C72726" w:rsidRPr="0007225C">
        <w:rPr>
          <w:rFonts w:ascii="Gotham Book" w:hAnsi="Gotham Book"/>
          <w:lang w:val="es-MX"/>
        </w:rPr>
        <w:t>.</w:t>
      </w:r>
      <w:r w:rsidR="00C72726" w:rsidRPr="0007225C">
        <w:rPr>
          <w:rFonts w:ascii="Gotham Book" w:hAnsi="Gotham Book"/>
          <w:lang w:val="es-MX"/>
        </w:rPr>
        <w:tab/>
      </w:r>
      <w:r w:rsidR="0007225C">
        <w:rPr>
          <w:rFonts w:ascii="Gotham Book" w:eastAsia="Gotham Book" w:hAnsi="Gotham Book" w:cs="Gotham Book"/>
          <w:lang w:val="es-MX"/>
        </w:rPr>
        <w:t>Empleando la información que se encuentra en el documento B, explica por qué el gobierno mexicano hubiera dado un aviso al gobierno de Estados Unidos sobre la nueva ley mexicana de 6 de abril de 1830. ¿Cómo crees que el gobierno de los Estados Unidos respondió a este aviso</w:t>
      </w:r>
      <w:r w:rsidRPr="0007225C">
        <w:rPr>
          <w:rFonts w:ascii="Gotham Book" w:hAnsi="Gotham Book"/>
          <w:lang w:val="es-MX"/>
        </w:rPr>
        <w:t xml:space="preserve">? </w:t>
      </w:r>
    </w:p>
    <w:p w14:paraId="4823A5F8" w14:textId="6C11FAE7" w:rsidR="00917DDF" w:rsidRPr="0052772A" w:rsidRDefault="00917DDF" w:rsidP="00F34C8C">
      <w:pPr>
        <w:pStyle w:val="ListParagraph"/>
        <w:spacing w:before="4560" w:line="276" w:lineRule="auto"/>
        <w:ind w:left="86" w:right="-547"/>
        <w:rPr>
          <w:rFonts w:ascii="Gotham Book" w:hAnsi="Gotham Book"/>
        </w:rPr>
      </w:pPr>
      <w:r w:rsidRPr="000C6E10">
        <w:rPr>
          <w:rFonts w:ascii="Gotham Book" w:hAnsi="Gotham Book"/>
          <w:lang w:val="es-MX"/>
        </w:rPr>
        <w:t>3.</w:t>
      </w:r>
      <w:r w:rsidRPr="000C6E10">
        <w:rPr>
          <w:rFonts w:ascii="Gotham Book" w:hAnsi="Gotham Book"/>
          <w:lang w:val="es-MX"/>
        </w:rPr>
        <w:tab/>
      </w:r>
      <w:r w:rsidR="000C6E10">
        <w:rPr>
          <w:rFonts w:ascii="Gotham Book" w:eastAsia="Gotham Book" w:hAnsi="Gotham Book" w:cs="Gotham Book"/>
          <w:lang w:val="es-MX"/>
        </w:rPr>
        <w:t>Junto con su pareja, decide si estos dos documentos de fuente primaria están conectados de alguna manera. Explica tu razonamiento</w:t>
      </w:r>
      <w:bookmarkStart w:id="0" w:name="_GoBack"/>
      <w:bookmarkEnd w:id="0"/>
      <w:r w:rsidRPr="00917DDF">
        <w:rPr>
          <w:rFonts w:ascii="Gotham Book" w:hAnsi="Gotham Book"/>
        </w:rPr>
        <w:t>.</w:t>
      </w:r>
    </w:p>
    <w:p w14:paraId="5551E6E9" w14:textId="5558036B" w:rsidR="00C72726" w:rsidRPr="0076787A" w:rsidRDefault="00C72726" w:rsidP="00C72726">
      <w:pPr>
        <w:rPr>
          <w:rFonts w:ascii="Gotham Book" w:hAnsi="Gotham Book"/>
        </w:rPr>
      </w:pPr>
    </w:p>
    <w:sectPr w:rsidR="00C72726" w:rsidRPr="0076787A" w:rsidSect="00FC4245">
      <w:headerReference w:type="default" r:id="rId12"/>
      <w:footerReference w:type="default" r:id="rId13"/>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131E1B03" w:rsidR="006D1BC9" w:rsidRDefault="00144D3A">
    <w:pPr>
      <w:pStyle w:val="Header"/>
    </w:pPr>
    <w:r>
      <w:rPr>
        <w:noProof/>
      </w:rPr>
      <w:drawing>
        <wp:inline distT="0" distB="0" distL="0" distR="0" wp14:anchorId="04FEF665" wp14:editId="32A2226C">
          <wp:extent cx="958850" cy="95885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958961" cy="958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0186B"/>
    <w:multiLevelType w:val="hybridMultilevel"/>
    <w:tmpl w:val="D77E75E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7225C"/>
    <w:rsid w:val="000927DC"/>
    <w:rsid w:val="000C6E10"/>
    <w:rsid w:val="000D67A5"/>
    <w:rsid w:val="000E591A"/>
    <w:rsid w:val="000F610E"/>
    <w:rsid w:val="00116062"/>
    <w:rsid w:val="001318BD"/>
    <w:rsid w:val="00144D3A"/>
    <w:rsid w:val="00154324"/>
    <w:rsid w:val="00166F81"/>
    <w:rsid w:val="00187C07"/>
    <w:rsid w:val="001E6A60"/>
    <w:rsid w:val="00232711"/>
    <w:rsid w:val="00242B3A"/>
    <w:rsid w:val="00270A8E"/>
    <w:rsid w:val="002B118A"/>
    <w:rsid w:val="002C55B5"/>
    <w:rsid w:val="002D7917"/>
    <w:rsid w:val="00310D4C"/>
    <w:rsid w:val="0034467F"/>
    <w:rsid w:val="00353D9A"/>
    <w:rsid w:val="0037687D"/>
    <w:rsid w:val="003C70EE"/>
    <w:rsid w:val="00495E3D"/>
    <w:rsid w:val="004A1101"/>
    <w:rsid w:val="004A4767"/>
    <w:rsid w:val="004B01AE"/>
    <w:rsid w:val="004F181D"/>
    <w:rsid w:val="004F59CD"/>
    <w:rsid w:val="0052627A"/>
    <w:rsid w:val="005655EC"/>
    <w:rsid w:val="00582781"/>
    <w:rsid w:val="00594B8B"/>
    <w:rsid w:val="00597AC5"/>
    <w:rsid w:val="005C5341"/>
    <w:rsid w:val="00602F2E"/>
    <w:rsid w:val="006220B3"/>
    <w:rsid w:val="006270BC"/>
    <w:rsid w:val="00630120"/>
    <w:rsid w:val="00673795"/>
    <w:rsid w:val="00683607"/>
    <w:rsid w:val="006963CB"/>
    <w:rsid w:val="006B76C3"/>
    <w:rsid w:val="006D1BC9"/>
    <w:rsid w:val="006E2D34"/>
    <w:rsid w:val="006F7E8E"/>
    <w:rsid w:val="0070655F"/>
    <w:rsid w:val="00711078"/>
    <w:rsid w:val="00714361"/>
    <w:rsid w:val="0076787A"/>
    <w:rsid w:val="0077045D"/>
    <w:rsid w:val="0077209A"/>
    <w:rsid w:val="00772AAF"/>
    <w:rsid w:val="007F59C1"/>
    <w:rsid w:val="008316F7"/>
    <w:rsid w:val="008335C0"/>
    <w:rsid w:val="00850454"/>
    <w:rsid w:val="0085141B"/>
    <w:rsid w:val="00854EEE"/>
    <w:rsid w:val="008727DC"/>
    <w:rsid w:val="008A6BCC"/>
    <w:rsid w:val="008B5D80"/>
    <w:rsid w:val="008E52BF"/>
    <w:rsid w:val="008F5949"/>
    <w:rsid w:val="00917DDF"/>
    <w:rsid w:val="00921002"/>
    <w:rsid w:val="00935E96"/>
    <w:rsid w:val="00944A36"/>
    <w:rsid w:val="0099274F"/>
    <w:rsid w:val="009F1125"/>
    <w:rsid w:val="009F33CD"/>
    <w:rsid w:val="00A30BEC"/>
    <w:rsid w:val="00A7573D"/>
    <w:rsid w:val="00AC54A0"/>
    <w:rsid w:val="00AF265F"/>
    <w:rsid w:val="00B07CA0"/>
    <w:rsid w:val="00B26A02"/>
    <w:rsid w:val="00B74054"/>
    <w:rsid w:val="00BF57DD"/>
    <w:rsid w:val="00BF7888"/>
    <w:rsid w:val="00C44C42"/>
    <w:rsid w:val="00C44EC4"/>
    <w:rsid w:val="00C674F6"/>
    <w:rsid w:val="00C72726"/>
    <w:rsid w:val="00C85470"/>
    <w:rsid w:val="00C904EB"/>
    <w:rsid w:val="00C96C1F"/>
    <w:rsid w:val="00D17C64"/>
    <w:rsid w:val="00D40CCB"/>
    <w:rsid w:val="00D57368"/>
    <w:rsid w:val="00DA0188"/>
    <w:rsid w:val="00DC5709"/>
    <w:rsid w:val="00DC6D22"/>
    <w:rsid w:val="00E03A30"/>
    <w:rsid w:val="00E138A4"/>
    <w:rsid w:val="00E30847"/>
    <w:rsid w:val="00E4218F"/>
    <w:rsid w:val="00E449B2"/>
    <w:rsid w:val="00E6015C"/>
    <w:rsid w:val="00EA1C99"/>
    <w:rsid w:val="00EA6120"/>
    <w:rsid w:val="00F01380"/>
    <w:rsid w:val="00F07558"/>
    <w:rsid w:val="00F34C8C"/>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EA1C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446657998">
      <w:bodyDiv w:val="1"/>
      <w:marLeft w:val="0"/>
      <w:marRight w:val="0"/>
      <w:marTop w:val="0"/>
      <w:marBottom w:val="0"/>
      <w:divBdr>
        <w:top w:val="none" w:sz="0" w:space="0" w:color="auto"/>
        <w:left w:val="none" w:sz="0" w:space="0" w:color="auto"/>
        <w:bottom w:val="none" w:sz="0" w:space="0" w:color="auto"/>
        <w:right w:val="none" w:sz="0" w:space="0" w:color="auto"/>
      </w:divBdr>
    </w:div>
    <w:div w:id="466048967">
      <w:bodyDiv w:val="1"/>
      <w:marLeft w:val="0"/>
      <w:marRight w:val="0"/>
      <w:marTop w:val="0"/>
      <w:marBottom w:val="0"/>
      <w:divBdr>
        <w:top w:val="none" w:sz="0" w:space="0" w:color="auto"/>
        <w:left w:val="none" w:sz="0" w:space="0" w:color="auto"/>
        <w:bottom w:val="none" w:sz="0" w:space="0" w:color="auto"/>
        <w:right w:val="none" w:sz="0" w:space="0" w:color="auto"/>
      </w:divBdr>
    </w:div>
    <w:div w:id="47036934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969020889">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029912645">
      <w:bodyDiv w:val="1"/>
      <w:marLeft w:val="0"/>
      <w:marRight w:val="0"/>
      <w:marTop w:val="0"/>
      <w:marBottom w:val="0"/>
      <w:divBdr>
        <w:top w:val="none" w:sz="0" w:space="0" w:color="auto"/>
        <w:left w:val="none" w:sz="0" w:space="0" w:color="auto"/>
        <w:bottom w:val="none" w:sz="0" w:space="0" w:color="auto"/>
        <w:right w:val="none" w:sz="0" w:space="0" w:color="auto"/>
      </w:divBdr>
    </w:div>
    <w:div w:id="1350840141">
      <w:bodyDiv w:val="1"/>
      <w:marLeft w:val="0"/>
      <w:marRight w:val="0"/>
      <w:marTop w:val="0"/>
      <w:marBottom w:val="0"/>
      <w:divBdr>
        <w:top w:val="none" w:sz="0" w:space="0" w:color="auto"/>
        <w:left w:val="none" w:sz="0" w:space="0" w:color="auto"/>
        <w:bottom w:val="none" w:sz="0" w:space="0" w:color="auto"/>
        <w:right w:val="none" w:sz="0" w:space="0" w:color="auto"/>
      </w:divBdr>
    </w:div>
    <w:div w:id="1486553339">
      <w:bodyDiv w:val="1"/>
      <w:marLeft w:val="0"/>
      <w:marRight w:val="0"/>
      <w:marTop w:val="0"/>
      <w:marBottom w:val="0"/>
      <w:divBdr>
        <w:top w:val="none" w:sz="0" w:space="0" w:color="auto"/>
        <w:left w:val="none" w:sz="0" w:space="0" w:color="auto"/>
        <w:bottom w:val="none" w:sz="0" w:space="0" w:color="auto"/>
        <w:right w:val="none" w:sz="0" w:space="0" w:color="auto"/>
      </w:divBdr>
    </w:div>
    <w:div w:id="1505707323">
      <w:bodyDiv w:val="1"/>
      <w:marLeft w:val="0"/>
      <w:marRight w:val="0"/>
      <w:marTop w:val="0"/>
      <w:marBottom w:val="0"/>
      <w:divBdr>
        <w:top w:val="none" w:sz="0" w:space="0" w:color="auto"/>
        <w:left w:val="none" w:sz="0" w:space="0" w:color="auto"/>
        <w:bottom w:val="none" w:sz="0" w:space="0" w:color="auto"/>
        <w:right w:val="none" w:sz="0" w:space="0" w:color="auto"/>
      </w:divBdr>
    </w:div>
    <w:div w:id="1853951672">
      <w:bodyDiv w:val="1"/>
      <w:marLeft w:val="0"/>
      <w:marRight w:val="0"/>
      <w:marTop w:val="0"/>
      <w:marBottom w:val="0"/>
      <w:divBdr>
        <w:top w:val="none" w:sz="0" w:space="0" w:color="auto"/>
        <w:left w:val="none" w:sz="0" w:space="0" w:color="auto"/>
        <w:bottom w:val="none" w:sz="0" w:space="0" w:color="auto"/>
        <w:right w:val="none" w:sz="0" w:space="0" w:color="auto"/>
      </w:divBdr>
    </w:div>
    <w:div w:id="1933274258">
      <w:bodyDiv w:val="1"/>
      <w:marLeft w:val="0"/>
      <w:marRight w:val="0"/>
      <w:marTop w:val="0"/>
      <w:marBottom w:val="0"/>
      <w:divBdr>
        <w:top w:val="none" w:sz="0" w:space="0" w:color="auto"/>
        <w:left w:val="none" w:sz="0" w:space="0" w:color="auto"/>
        <w:bottom w:val="none" w:sz="0" w:space="0" w:color="auto"/>
        <w:right w:val="none" w:sz="0" w:space="0" w:color="auto"/>
      </w:divBdr>
    </w:div>
    <w:div w:id="1971550825">
      <w:bodyDiv w:val="1"/>
      <w:marLeft w:val="0"/>
      <w:marRight w:val="0"/>
      <w:marTop w:val="0"/>
      <w:marBottom w:val="0"/>
      <w:divBdr>
        <w:top w:val="none" w:sz="0" w:space="0" w:color="auto"/>
        <w:left w:val="none" w:sz="0" w:space="0" w:color="auto"/>
        <w:bottom w:val="none" w:sz="0" w:space="0" w:color="auto"/>
        <w:right w:val="none" w:sz="0" w:space="0" w:color="auto"/>
      </w:divBdr>
    </w:div>
    <w:div w:id="21160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ashistory.unt.edu/ark:/67531/metapth21670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xashistory.un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2DE4B288-0DA4-4FDD-B686-CED250B500A7}">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 ds:uri="c9d2663c-d922-4697-875d-fa17f01068b5"/>
    <ds:schemaRef ds:uri="abe1a9c9-0c6d-433c-adda-7fbcb047a71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3</cp:revision>
  <cp:lastPrinted>2020-09-30T17:08:00Z</cp:lastPrinted>
  <dcterms:created xsi:type="dcterms:W3CDTF">2021-11-16T23:58:00Z</dcterms:created>
  <dcterms:modified xsi:type="dcterms:W3CDTF">2021-12-07T19:16:00Z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